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61D13F53">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E76E35">
      <w:pPr>
        <w:spacing w:after="0" w:line="168" w:lineRule="auto"/>
        <w:jc w:val="center"/>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59E880C0" w14:textId="77777777" w:rsidR="0040359C" w:rsidRDefault="0040359C" w:rsidP="0040359C">
      <w:pPr>
        <w:rPr>
          <w:rFonts w:ascii="Calibri" w:eastAsiaTheme="minorEastAsia" w:hAnsi="Calibri" w:cs="Calibri"/>
          <w:b/>
          <w:bCs/>
          <w:color w:val="4D4D4D" w:themeColor="text1"/>
          <w:sz w:val="40"/>
          <w:szCs w:val="40"/>
          <w:lang w:eastAsia="fr-FR"/>
        </w:rPr>
      </w:pPr>
    </w:p>
    <w:p w14:paraId="47A0394A" w14:textId="77777777" w:rsidR="0040359C" w:rsidRDefault="0040359C" w:rsidP="0040359C">
      <w:pPr>
        <w:rPr>
          <w:rFonts w:ascii="Calibri" w:eastAsiaTheme="minorEastAsia" w:hAnsi="Calibri" w:cs="Calibri"/>
          <w:b/>
          <w:bCs/>
          <w:color w:val="4D4D4D" w:themeColor="text1"/>
          <w:sz w:val="40"/>
          <w:szCs w:val="40"/>
          <w:lang w:eastAsia="fr-FR"/>
        </w:rPr>
      </w:pPr>
    </w:p>
    <w:p w14:paraId="0C39EE5B" w14:textId="77777777" w:rsidR="00DC5670" w:rsidRPr="001342D1" w:rsidRDefault="00DC5670" w:rsidP="00DC5670">
      <w:pPr>
        <w:autoSpaceDE w:val="0"/>
        <w:autoSpaceDN w:val="0"/>
        <w:adjustRightInd w:val="0"/>
        <w:spacing w:before="170" w:after="0" w:line="288" w:lineRule="auto"/>
        <w:jc w:val="center"/>
        <w:textAlignment w:val="center"/>
        <w:rPr>
          <w:rFonts w:ascii="Calibri" w:eastAsiaTheme="minorEastAsia" w:hAnsi="Calibri" w:cs="Calibri"/>
          <w:b/>
          <w:bCs/>
          <w:color w:val="000000"/>
          <w:sz w:val="24"/>
          <w:szCs w:val="24"/>
          <w:lang w:eastAsia="fr-FR"/>
        </w:rPr>
      </w:pPr>
      <w:bookmarkStart w:id="0" w:name="_Hlk212638241"/>
      <w:r>
        <w:rPr>
          <w:rFonts w:ascii="Calibri" w:eastAsiaTheme="minorEastAsia" w:hAnsi="Calibri" w:cs="Calibri"/>
          <w:b/>
          <w:bCs/>
          <w:color w:val="4D4D4D" w:themeColor="text1"/>
          <w:sz w:val="48"/>
          <w:szCs w:val="48"/>
          <w:lang w:eastAsia="fr-FR"/>
        </w:rPr>
        <w:t>Re</w:t>
      </w:r>
      <w:r w:rsidRPr="00C83DEE">
        <w:rPr>
          <w:rFonts w:ascii="Calibri" w:eastAsiaTheme="minorEastAsia" w:hAnsi="Calibri" w:cs="Calibri"/>
          <w:b/>
          <w:bCs/>
          <w:color w:val="4D4D4D" w:themeColor="text1"/>
          <w:sz w:val="48"/>
          <w:szCs w:val="48"/>
          <w:lang w:eastAsia="fr-FR"/>
        </w:rPr>
        <w:t xml:space="preserve">fonte de la plateforme </w:t>
      </w:r>
      <w:r>
        <w:rPr>
          <w:rFonts w:ascii="Calibri" w:eastAsiaTheme="minorEastAsia" w:hAnsi="Calibri" w:cs="Calibri"/>
          <w:b/>
          <w:bCs/>
          <w:color w:val="4D4D4D" w:themeColor="text1"/>
          <w:sz w:val="48"/>
          <w:szCs w:val="48"/>
          <w:lang w:eastAsia="fr-FR"/>
        </w:rPr>
        <w:t xml:space="preserve">Usine à sites et prestations de </w:t>
      </w:r>
      <w:r w:rsidRPr="00C83DEE">
        <w:rPr>
          <w:rFonts w:ascii="Calibri" w:eastAsiaTheme="minorEastAsia" w:hAnsi="Calibri" w:cs="Calibri"/>
          <w:b/>
          <w:bCs/>
          <w:color w:val="4D4D4D" w:themeColor="text1"/>
          <w:sz w:val="48"/>
          <w:szCs w:val="48"/>
          <w:lang w:eastAsia="fr-FR"/>
        </w:rPr>
        <w:t xml:space="preserve">maintenance </w:t>
      </w:r>
      <w:r>
        <w:rPr>
          <w:rFonts w:ascii="Calibri" w:eastAsiaTheme="minorEastAsia" w:hAnsi="Calibri" w:cs="Calibri"/>
          <w:b/>
          <w:bCs/>
          <w:color w:val="4D4D4D" w:themeColor="text1"/>
          <w:sz w:val="48"/>
          <w:szCs w:val="48"/>
          <w:lang w:eastAsia="fr-FR"/>
        </w:rPr>
        <w:t>et assistance associées</w:t>
      </w:r>
    </w:p>
    <w:bookmarkEnd w:id="0"/>
    <w:p w14:paraId="260303F3" w14:textId="63DF011B" w:rsidR="00EA331A" w:rsidRDefault="00EA331A"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18561A16" w14:textId="3FD3A3B3" w:rsidR="00EA331A" w:rsidRDefault="00EA331A"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53BE85D" w14:textId="77777777" w:rsidR="00DC5670" w:rsidRDefault="00DC5670"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1690C931"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xml:space="preserve"> : </w:t>
      </w:r>
      <w:r w:rsidR="00FB3F4B">
        <w:rPr>
          <w:rFonts w:ascii="Calibri" w:eastAsiaTheme="minorEastAsia" w:hAnsi="Calibri" w:cs="Calibri"/>
          <w:i/>
          <w:iCs/>
          <w:sz w:val="28"/>
          <w:szCs w:val="28"/>
          <w:lang w:eastAsia="fr-FR"/>
        </w:rPr>
        <w:t>CCIR-</w:t>
      </w:r>
      <w:r w:rsidR="00F84917">
        <w:rPr>
          <w:rFonts w:ascii="Calibri" w:eastAsiaTheme="minorEastAsia" w:hAnsi="Calibri" w:cs="Calibri"/>
          <w:i/>
          <w:iCs/>
          <w:sz w:val="28"/>
          <w:szCs w:val="28"/>
          <w:lang w:eastAsia="fr-FR"/>
        </w:rPr>
        <w:t>COM</w:t>
      </w:r>
      <w:r w:rsidR="00FB3F4B">
        <w:rPr>
          <w:rFonts w:ascii="Calibri" w:eastAsiaTheme="minorEastAsia" w:hAnsi="Calibri" w:cs="Calibri"/>
          <w:i/>
          <w:iCs/>
          <w:sz w:val="28"/>
          <w:szCs w:val="28"/>
          <w:lang w:eastAsia="fr-FR"/>
        </w:rPr>
        <w:t>-202</w:t>
      </w:r>
      <w:r w:rsidR="00F84917">
        <w:rPr>
          <w:rFonts w:ascii="Calibri" w:eastAsiaTheme="minorEastAsia" w:hAnsi="Calibri" w:cs="Calibri"/>
          <w:i/>
          <w:iCs/>
          <w:sz w:val="28"/>
          <w:szCs w:val="28"/>
          <w:lang w:eastAsia="fr-FR"/>
        </w:rPr>
        <w:t>5</w:t>
      </w:r>
      <w:r w:rsidR="00FB3F4B">
        <w:rPr>
          <w:rFonts w:ascii="Calibri" w:eastAsiaTheme="minorEastAsia" w:hAnsi="Calibri" w:cs="Calibri"/>
          <w:i/>
          <w:iCs/>
          <w:sz w:val="28"/>
          <w:szCs w:val="28"/>
          <w:lang w:eastAsia="fr-FR"/>
        </w:rPr>
        <w:t>-</w:t>
      </w:r>
      <w:r w:rsidR="00F84917">
        <w:rPr>
          <w:rFonts w:ascii="Calibri" w:eastAsiaTheme="minorEastAsia" w:hAnsi="Calibri" w:cs="Calibri"/>
          <w:i/>
          <w:iCs/>
          <w:sz w:val="28"/>
          <w:szCs w:val="28"/>
          <w:lang w:eastAsia="fr-FR"/>
        </w:rPr>
        <w:t>73</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4E3E191E"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4E3E191E"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1"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1"/>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470F6A86" w14:textId="74C88A4A" w:rsidR="00D0048D" w:rsidRPr="00D0048D" w:rsidRDefault="00D0048D" w:rsidP="00D0048D">
      <w:pPr>
        <w:tabs>
          <w:tab w:val="left" w:leader="dot" w:pos="4536"/>
        </w:tabs>
        <w:spacing w:before="120" w:after="120"/>
        <w:jc w:val="both"/>
        <w:rPr>
          <w:rFonts w:cstheme="minorHAnsi"/>
          <w:color w:val="auto"/>
          <w:szCs w:val="20"/>
        </w:rPr>
      </w:pPr>
      <w:r w:rsidRPr="00D0048D">
        <w:rPr>
          <w:rFonts w:cstheme="minorHAnsi"/>
          <w:color w:val="auto"/>
          <w:szCs w:val="20"/>
          <w:lang w:eastAsia="fr-FR"/>
        </w:rPr>
        <w:t>Numéro d’identité d’Etablissement (SIRET)</w:t>
      </w:r>
      <w:r w:rsidR="00AF76E7" w:rsidRPr="00AF76E7">
        <w:rPr>
          <w:rStyle w:val="lev"/>
          <w:color w:val="004379"/>
        </w:rPr>
        <w:t xml:space="preserve">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lastRenderedPageBreak/>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2" w:name="__Fieldmark__516_1885132582"/>
      <w:bookmarkStart w:id="3" w:name="__Fieldmark__26_2046630801"/>
      <w:bookmarkEnd w:id="2"/>
      <w:bookmarkEnd w:id="3"/>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4" w:name="__Fieldmark__530_1885132582"/>
      <w:bookmarkStart w:id="5" w:name="__Fieldmark__27_2046630801"/>
      <w:bookmarkEnd w:id="4"/>
      <w:bookmarkEnd w:id="5"/>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6" w:name="__Fieldmark__545_1885132582"/>
      <w:bookmarkStart w:id="7" w:name="__Fieldmark__28_2046630801"/>
      <w:bookmarkEnd w:id="6"/>
      <w:bookmarkEnd w:id="7"/>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8" w:name="__Fieldmark__562_1885132582"/>
      <w:bookmarkStart w:id="9" w:name="__Fieldmark__30_2046630801"/>
      <w:bookmarkEnd w:id="8"/>
      <w:bookmarkEnd w:id="9"/>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0" w:name="__Fieldmark__570_1885132582"/>
      <w:bookmarkStart w:id="11" w:name="__Fieldmark__31_2046630801"/>
      <w:bookmarkEnd w:id="10"/>
      <w:bookmarkEnd w:id="11"/>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2" w:name="__Fieldmark__579_1885132582"/>
      <w:bookmarkStart w:id="13" w:name="__Fieldmark__32_2046630801"/>
      <w:bookmarkEnd w:id="12"/>
      <w:bookmarkEnd w:id="13"/>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1AF9BEAA" w14:textId="77777777" w:rsidR="00AF76E7" w:rsidRPr="00441CDB" w:rsidRDefault="00AF76E7" w:rsidP="00AF76E7">
      <w:pPr>
        <w:pStyle w:val="EM2007-Normaljustifi"/>
        <w:rPr>
          <w:rFonts w:asciiTheme="minorHAnsi" w:hAnsiTheme="minorHAnsi" w:cstheme="minorHAnsi"/>
          <w:color w:val="00417B"/>
        </w:rPr>
      </w:pPr>
      <w:r w:rsidRPr="00441CDB">
        <w:rPr>
          <w:rFonts w:asciiTheme="minorHAnsi" w:hAnsiTheme="minorHAnsi" w:cstheme="minorHAnsi"/>
          <w:color w:val="00417B"/>
        </w:rPr>
        <w:t>Après avoir pris connaissance du CCAP et du CCTP et des pièces qui y sont mentionnées et conformément à leurs clauses et stipulations,</w:t>
      </w:r>
    </w:p>
    <w:p w14:paraId="7A14370D" w14:textId="77777777" w:rsidR="00AF76E7" w:rsidRPr="00441CDB" w:rsidRDefault="00AF76E7" w:rsidP="00AF76E7">
      <w:pPr>
        <w:pStyle w:val="EM2007-Normaljustifi"/>
        <w:rPr>
          <w:rFonts w:asciiTheme="minorHAnsi" w:hAnsiTheme="minorHAnsi" w:cstheme="minorHAnsi"/>
          <w:color w:val="00417B"/>
        </w:rPr>
      </w:pPr>
    </w:p>
    <w:p w14:paraId="0EDF236C" w14:textId="0CC8E06D" w:rsidR="00E4549A" w:rsidRDefault="00E4549A" w:rsidP="00E4549A">
      <w:pPr>
        <w:pStyle w:val="EM2007-Normaljustifi"/>
        <w:rPr>
          <w:rFonts w:asciiTheme="minorHAnsi" w:hAnsiTheme="minorHAnsi" w:cstheme="minorHAnsi"/>
          <w:color w:val="00417B"/>
        </w:rPr>
      </w:pPr>
      <w:r>
        <w:rPr>
          <w:rFonts w:asciiTheme="minorHAnsi" w:hAnsiTheme="minorHAnsi" w:cstheme="minorHAnsi"/>
          <w:color w:val="00417B"/>
        </w:rPr>
        <w:t xml:space="preserve">Je m'engage (nous nous engageons) sans réserve, à exécuter les prestations dans les conditions définies dans les documents contractuels, dont j’ai pris connaissance. </w:t>
      </w:r>
    </w:p>
    <w:p w14:paraId="11565F43" w14:textId="77777777" w:rsidR="00E76E35" w:rsidRDefault="00E76E35" w:rsidP="00E4549A">
      <w:pPr>
        <w:pStyle w:val="EM2007-Normaljustifi"/>
        <w:rPr>
          <w:rFonts w:asciiTheme="minorHAnsi" w:hAnsiTheme="minorHAnsi" w:cstheme="minorHAnsi"/>
          <w:color w:val="00417B"/>
        </w:rPr>
      </w:pPr>
    </w:p>
    <w:p w14:paraId="215E8FBF" w14:textId="77777777" w:rsidR="00E4549A" w:rsidRDefault="00E4549A" w:rsidP="00E4549A">
      <w:pPr>
        <w:pStyle w:val="EM2007-Normaljustifi"/>
        <w:rPr>
          <w:rFonts w:asciiTheme="minorHAnsi" w:hAnsiTheme="minorHAnsi" w:cstheme="minorHAnsi"/>
          <w:color w:val="00417B"/>
        </w:rPr>
      </w:pPr>
      <w:r>
        <w:rPr>
          <w:rFonts w:asciiTheme="minorHAnsi" w:hAnsiTheme="minorHAnsi" w:cstheme="minorHAnsi"/>
          <w:color w:val="00417B"/>
        </w:rPr>
        <w:t>La signature de l’acte d’engagement emporte l’acceptation de l’ensemble des documents contractuels visés au CCAP, ainsi que du CCAP.</w:t>
      </w:r>
    </w:p>
    <w:p w14:paraId="43BD5DFD" w14:textId="77777777" w:rsidR="00E4549A" w:rsidRDefault="00E4549A" w:rsidP="00E4549A">
      <w:pPr>
        <w:pStyle w:val="EM2007-Normaljustifi"/>
        <w:rPr>
          <w:rFonts w:asciiTheme="minorHAnsi" w:hAnsiTheme="minorHAnsi" w:cstheme="minorHAnsi"/>
          <w:color w:val="00417B"/>
        </w:rPr>
      </w:pPr>
    </w:p>
    <w:p w14:paraId="51437856" w14:textId="0C000690" w:rsidR="00AF76E7" w:rsidRPr="00441CDB" w:rsidRDefault="00E4549A" w:rsidP="00AF76E7">
      <w:pPr>
        <w:pStyle w:val="EM2007-Normaljustifi"/>
        <w:rPr>
          <w:rFonts w:asciiTheme="minorHAnsi" w:hAnsiTheme="minorHAnsi" w:cstheme="minorHAnsi"/>
          <w:color w:val="00417B"/>
        </w:rPr>
      </w:pPr>
      <w:r>
        <w:rPr>
          <w:rFonts w:asciiTheme="minorHAnsi" w:hAnsiTheme="minorHAnsi" w:cstheme="minorHAnsi"/>
          <w:color w:val="00417B"/>
        </w:rPr>
        <w:t xml:space="preserve">Je m'engage (ou j'engage le groupement dont je suis mandataire), sur la base de mon offre (ou de l'offre du groupement), exprimée </w:t>
      </w:r>
      <w:r>
        <w:rPr>
          <w:rFonts w:asciiTheme="minorHAnsi" w:hAnsiTheme="minorHAnsi" w:cstheme="minorHAnsi"/>
          <w:b/>
          <w:color w:val="00417B"/>
        </w:rPr>
        <w:t>en euros</w:t>
      </w:r>
      <w:r>
        <w:rPr>
          <w:rFonts w:asciiTheme="minorHAnsi" w:hAnsiTheme="minorHAnsi" w:cstheme="minorHAnsi"/>
          <w:color w:val="00417B"/>
        </w:rPr>
        <w:t xml:space="preserve">, établie sur la base des conditions économiques fixées au mois M0, mois de la date de </w:t>
      </w:r>
      <w:r>
        <w:rPr>
          <w:rFonts w:asciiTheme="minorHAnsi" w:hAnsiTheme="minorHAnsi" w:cstheme="minorHAnsi"/>
          <w:color w:val="00417B"/>
        </w:rPr>
        <w:lastRenderedPageBreak/>
        <w:t>fixation du prix (date de remise de l’offre).</w:t>
      </w:r>
    </w:p>
    <w:p w14:paraId="44B635D7" w14:textId="1AC2E964" w:rsidR="00B70784" w:rsidRDefault="00AF76E7" w:rsidP="006D3153">
      <w:pPr>
        <w:spacing w:after="0" w:line="240" w:lineRule="auto"/>
        <w:jc w:val="both"/>
        <w:rPr>
          <w:rFonts w:cstheme="minorHAnsi"/>
          <w:color w:val="00417B"/>
          <w:szCs w:val="20"/>
        </w:rPr>
      </w:pPr>
      <w:r w:rsidRPr="00441CDB">
        <w:rPr>
          <w:rFonts w:cstheme="minorHAnsi"/>
          <w:color w:val="00417B"/>
          <w:szCs w:val="20"/>
        </w:rPr>
        <w:t>Le présent engagement me lie pour le délai de validité des offres indiqué dans le règlement de la consultation.</w:t>
      </w:r>
    </w:p>
    <w:p w14:paraId="42805601" w14:textId="77777777" w:rsidR="00E4549A" w:rsidRDefault="00E4549A" w:rsidP="006D3153">
      <w:pPr>
        <w:spacing w:after="0" w:line="240" w:lineRule="auto"/>
        <w:jc w:val="both"/>
        <w:rPr>
          <w:rFonts w:cstheme="minorHAnsi"/>
          <w:color w:val="00417B"/>
          <w:szCs w:val="20"/>
        </w:rPr>
      </w:pPr>
    </w:p>
    <w:p w14:paraId="7B0570BC" w14:textId="77777777" w:rsidR="00E4549A" w:rsidRPr="00441CDB" w:rsidRDefault="00E4549A" w:rsidP="006D3153">
      <w:pPr>
        <w:spacing w:after="0" w:line="240" w:lineRule="auto"/>
        <w:jc w:val="both"/>
        <w:rPr>
          <w:rFonts w:cstheme="minorHAnsi"/>
          <w:color w:val="00417B"/>
          <w:szCs w:val="20"/>
        </w:rPr>
      </w:pPr>
    </w:p>
    <w:p w14:paraId="230864C3" w14:textId="2ABD9534" w:rsidR="006D3153" w:rsidRDefault="006D3153" w:rsidP="00FC33E4">
      <w:pPr>
        <w:pStyle w:val="ARTICLE"/>
        <w:spacing w:after="120"/>
        <w:ind w:hanging="720"/>
        <w:outlineLvl w:val="0"/>
      </w:pPr>
      <w:r w:rsidRPr="006D3153">
        <w:t>OBJET DE LA CONSULTATION</w:t>
      </w:r>
    </w:p>
    <w:p w14:paraId="03436E60" w14:textId="77777777" w:rsidR="00686E55" w:rsidRPr="00CE744B" w:rsidRDefault="00686E55" w:rsidP="00686E55">
      <w:pPr>
        <w:pStyle w:val="Sous-titrecyan"/>
        <w:jc w:val="both"/>
        <w:rPr>
          <w:rFonts w:asciiTheme="minorHAnsi" w:eastAsiaTheme="minorHAnsi" w:hAnsiTheme="minorHAnsi" w:cstheme="minorHAnsi"/>
          <w:color w:val="00417B" w:themeColor="background1" w:themeShade="BF"/>
          <w:sz w:val="20"/>
          <w:szCs w:val="20"/>
        </w:rPr>
      </w:pPr>
      <w:bookmarkStart w:id="14" w:name="_Hlk212402265"/>
      <w:r w:rsidRPr="00CE744B">
        <w:rPr>
          <w:rFonts w:asciiTheme="minorHAnsi" w:eastAsiaTheme="minorHAnsi" w:hAnsiTheme="minorHAnsi" w:cstheme="minorHAnsi"/>
          <w:color w:val="00417B" w:themeColor="background1" w:themeShade="BF"/>
          <w:sz w:val="20"/>
          <w:szCs w:val="20"/>
        </w:rPr>
        <w:t xml:space="preserve">Le présent marché a pour objet </w:t>
      </w:r>
      <w:bookmarkStart w:id="15" w:name="_Hlk165447607"/>
      <w:r w:rsidRPr="00CE744B">
        <w:rPr>
          <w:rFonts w:asciiTheme="minorHAnsi" w:eastAsiaTheme="minorHAnsi" w:hAnsiTheme="minorHAnsi" w:cstheme="minorHAnsi"/>
          <w:color w:val="00417B" w:themeColor="background1" w:themeShade="BF"/>
          <w:sz w:val="20"/>
          <w:szCs w:val="20"/>
        </w:rPr>
        <w:t>la refonte de l’usine à sites (UAS) Event ainsi que la maintenance applicative associée.</w:t>
      </w:r>
      <w:bookmarkEnd w:id="15"/>
    </w:p>
    <w:p w14:paraId="4CEDFB0B" w14:textId="77777777" w:rsidR="00686E55" w:rsidRPr="00CE744B" w:rsidRDefault="00686E55" w:rsidP="00686E55">
      <w:pPr>
        <w:pStyle w:val="Sous-titrecyan"/>
        <w:jc w:val="both"/>
        <w:rPr>
          <w:rFonts w:asciiTheme="minorHAnsi" w:eastAsiaTheme="minorHAnsi" w:hAnsiTheme="minorHAnsi" w:cstheme="minorHAnsi"/>
          <w:color w:val="00417B" w:themeColor="background1" w:themeShade="BF"/>
          <w:sz w:val="20"/>
          <w:szCs w:val="20"/>
        </w:rPr>
      </w:pPr>
      <w:r w:rsidRPr="00CE744B">
        <w:rPr>
          <w:rFonts w:asciiTheme="minorHAnsi" w:eastAsiaTheme="minorHAnsi" w:hAnsiTheme="minorHAnsi" w:cstheme="minorHAnsi"/>
          <w:color w:val="00417B" w:themeColor="background1" w:themeShade="BF"/>
          <w:sz w:val="20"/>
          <w:szCs w:val="20"/>
        </w:rPr>
        <w:t xml:space="preserve">Ces sites reposent actuellement sur le CMS Wordpress  </w:t>
      </w:r>
    </w:p>
    <w:bookmarkEnd w:id="14"/>
    <w:p w14:paraId="128D2602" w14:textId="77777777" w:rsidR="00686E55" w:rsidRPr="00CE744B" w:rsidRDefault="00686E55" w:rsidP="00E76E35">
      <w:pPr>
        <w:autoSpaceDE w:val="0"/>
        <w:autoSpaceDN w:val="0"/>
        <w:adjustRightInd w:val="0"/>
        <w:spacing w:after="120" w:line="240" w:lineRule="auto"/>
        <w:jc w:val="both"/>
        <w:rPr>
          <w:rFonts w:cstheme="minorHAnsi"/>
          <w:color w:val="00417B" w:themeColor="background1" w:themeShade="BF"/>
          <w:szCs w:val="20"/>
        </w:rPr>
      </w:pPr>
    </w:p>
    <w:p w14:paraId="7B654D9F" w14:textId="77777777" w:rsidR="00CE744B" w:rsidRPr="00CE744B" w:rsidRDefault="00CE744B" w:rsidP="00CE744B">
      <w:pPr>
        <w:spacing w:before="120" w:after="0" w:line="240" w:lineRule="auto"/>
        <w:jc w:val="both"/>
        <w:rPr>
          <w:rFonts w:cstheme="minorHAnsi"/>
          <w:color w:val="00417B" w:themeColor="background1" w:themeShade="BF"/>
          <w:szCs w:val="20"/>
        </w:rPr>
      </w:pPr>
      <w:bookmarkStart w:id="16" w:name="_Hlk163638416"/>
      <w:r w:rsidRPr="00CE744B">
        <w:rPr>
          <w:rFonts w:cstheme="minorHAnsi"/>
          <w:color w:val="00417B" w:themeColor="background1" w:themeShade="BF"/>
          <w:szCs w:val="20"/>
        </w:rPr>
        <w:t>Le présent marché est passé selon une procédure adaptée conformément aux dispositions de l’article R2123-1 du Code de la Commande Publique.</w:t>
      </w:r>
    </w:p>
    <w:p w14:paraId="785FD98D" w14:textId="77777777" w:rsidR="00CE744B" w:rsidRPr="00CE744B" w:rsidRDefault="00CE744B" w:rsidP="00CE744B">
      <w:pPr>
        <w:autoSpaceDE w:val="0"/>
        <w:autoSpaceDN w:val="0"/>
        <w:adjustRightInd w:val="0"/>
        <w:spacing w:after="120" w:line="240" w:lineRule="auto"/>
        <w:jc w:val="both"/>
        <w:rPr>
          <w:rFonts w:cstheme="minorHAnsi"/>
          <w:color w:val="00417B" w:themeColor="background1" w:themeShade="BF"/>
          <w:szCs w:val="20"/>
        </w:rPr>
      </w:pPr>
    </w:p>
    <w:p w14:paraId="1029DBC1" w14:textId="77777777" w:rsidR="00CE744B" w:rsidRPr="00CE744B" w:rsidRDefault="00CE744B" w:rsidP="00CE744B">
      <w:pPr>
        <w:autoSpaceDE w:val="0"/>
        <w:autoSpaceDN w:val="0"/>
        <w:adjustRightInd w:val="0"/>
        <w:spacing w:after="120" w:line="240" w:lineRule="auto"/>
        <w:jc w:val="both"/>
        <w:rPr>
          <w:rFonts w:cstheme="minorHAnsi"/>
          <w:color w:val="00417B" w:themeColor="background1" w:themeShade="BF"/>
          <w:szCs w:val="20"/>
        </w:rPr>
      </w:pPr>
      <w:r w:rsidRPr="00CE744B">
        <w:rPr>
          <w:rFonts w:cstheme="minorHAnsi"/>
          <w:color w:val="00417B" w:themeColor="background1" w:themeShade="BF"/>
          <w:szCs w:val="20"/>
        </w:rPr>
        <w:t>Il s’agit d’un accord-cadre mixte, mono-attributaire qui s’exécute d’une part par l’émission de bons de commande dans les conditions fixées aux articles R2162-13 à 14 du code de la commande publique et d’autre part par la conclusion de marchés subséquents dans les conditions fixées aux articles R2162-7 à R2162-12 du code de la commande publique.</w:t>
      </w:r>
    </w:p>
    <w:p w14:paraId="30E03363" w14:textId="77777777" w:rsidR="00CE744B" w:rsidRPr="00CE744B" w:rsidRDefault="00CE744B" w:rsidP="00CE744B">
      <w:pPr>
        <w:pStyle w:val="Paragraphedeliste"/>
        <w:numPr>
          <w:ilvl w:val="0"/>
          <w:numId w:val="19"/>
        </w:numPr>
        <w:autoSpaceDE w:val="0"/>
        <w:autoSpaceDN w:val="0"/>
        <w:adjustRightInd w:val="0"/>
        <w:spacing w:after="120" w:line="240" w:lineRule="auto"/>
        <w:jc w:val="both"/>
        <w:rPr>
          <w:rFonts w:asciiTheme="minorHAnsi" w:hAnsiTheme="minorHAnsi" w:cstheme="minorHAnsi"/>
          <w:color w:val="00417B" w:themeColor="background1" w:themeShade="BF"/>
          <w:sz w:val="20"/>
          <w:szCs w:val="20"/>
        </w:rPr>
      </w:pPr>
      <w:bookmarkStart w:id="17" w:name="_Hlk164233265"/>
      <w:r w:rsidRPr="00CE744B">
        <w:rPr>
          <w:rFonts w:asciiTheme="minorHAnsi" w:hAnsiTheme="minorHAnsi" w:cstheme="minorHAnsi"/>
          <w:color w:val="00417B" w:themeColor="background1" w:themeShade="BF"/>
          <w:sz w:val="20"/>
          <w:szCs w:val="20"/>
        </w:rPr>
        <w:t>Les prestations de développement de l’usine à site ainsi que la maintenance corrective seront réalisées par l’émission des bons de commandes sur la base des prix unitaires définis au BPU appliquées aux quantités réellement exécutées.</w:t>
      </w:r>
    </w:p>
    <w:p w14:paraId="24202041" w14:textId="77777777" w:rsidR="00CE744B" w:rsidRPr="00CE744B" w:rsidRDefault="00CE744B" w:rsidP="00CE744B">
      <w:pPr>
        <w:pStyle w:val="Paragraphedeliste"/>
        <w:numPr>
          <w:ilvl w:val="0"/>
          <w:numId w:val="19"/>
        </w:numPr>
        <w:autoSpaceDE w:val="0"/>
        <w:autoSpaceDN w:val="0"/>
        <w:adjustRightInd w:val="0"/>
        <w:spacing w:after="120" w:line="240" w:lineRule="auto"/>
        <w:jc w:val="both"/>
        <w:rPr>
          <w:rFonts w:asciiTheme="minorHAnsi" w:hAnsiTheme="minorHAnsi" w:cstheme="minorHAnsi"/>
          <w:color w:val="00417B" w:themeColor="background1" w:themeShade="BF"/>
          <w:sz w:val="20"/>
          <w:szCs w:val="20"/>
        </w:rPr>
      </w:pPr>
      <w:r w:rsidRPr="00CE744B">
        <w:rPr>
          <w:rFonts w:asciiTheme="minorHAnsi" w:hAnsiTheme="minorHAnsi" w:cstheme="minorHAnsi"/>
          <w:color w:val="00417B" w:themeColor="background1" w:themeShade="BF"/>
          <w:sz w:val="20"/>
          <w:szCs w:val="20"/>
        </w:rPr>
        <w:t xml:space="preserve">Les prestations de maintenance évolutive seront réalisées par le biais des marchés subséquents sur la base des prix des profils (TJM). </w:t>
      </w:r>
      <w:bookmarkStart w:id="18" w:name="_Hlk165558581"/>
    </w:p>
    <w:bookmarkEnd w:id="18"/>
    <w:p w14:paraId="3C7D2987" w14:textId="77777777" w:rsidR="00CE744B" w:rsidRPr="00CE744B" w:rsidRDefault="00CE744B" w:rsidP="00CE744B">
      <w:pPr>
        <w:autoSpaceDE w:val="0"/>
        <w:autoSpaceDN w:val="0"/>
        <w:adjustRightInd w:val="0"/>
        <w:spacing w:after="120" w:line="240" w:lineRule="auto"/>
        <w:jc w:val="both"/>
        <w:rPr>
          <w:rFonts w:cstheme="minorHAnsi"/>
          <w:color w:val="00417B" w:themeColor="background1" w:themeShade="BF"/>
          <w:szCs w:val="20"/>
        </w:rPr>
      </w:pPr>
      <w:r w:rsidRPr="00CE744B">
        <w:rPr>
          <w:rFonts w:cstheme="minorHAnsi"/>
          <w:color w:val="00417B" w:themeColor="background1" w:themeShade="BF"/>
          <w:szCs w:val="20"/>
        </w:rPr>
        <w:t xml:space="preserve">L’accord-cadre est sans seuil minimum et avec un seuil maximum de 80 000 € HT sur la durée totale de l’accord cadre de 36 mois, reconductions comprises. </w:t>
      </w:r>
    </w:p>
    <w:p w14:paraId="28AEF098" w14:textId="77777777" w:rsidR="00CE744B" w:rsidRPr="00CE744B" w:rsidRDefault="00CE744B" w:rsidP="00CE744B">
      <w:pPr>
        <w:autoSpaceDE w:val="0"/>
        <w:autoSpaceDN w:val="0"/>
        <w:adjustRightInd w:val="0"/>
        <w:spacing w:after="120" w:line="240" w:lineRule="auto"/>
        <w:jc w:val="both"/>
        <w:rPr>
          <w:rFonts w:cstheme="minorHAnsi"/>
          <w:color w:val="00417B" w:themeColor="background1" w:themeShade="BF"/>
          <w:szCs w:val="20"/>
        </w:rPr>
      </w:pPr>
      <w:bookmarkStart w:id="19" w:name="_Hlk166497284"/>
      <w:r w:rsidRPr="00CE744B">
        <w:rPr>
          <w:rFonts w:cstheme="minorHAnsi"/>
          <w:color w:val="00417B" w:themeColor="background1" w:themeShade="BF"/>
          <w:szCs w:val="20"/>
        </w:rPr>
        <w:t xml:space="preserve">Le montant maximum pour la première année est fixé à 50 000 € HT prenant en compte 6 mois de </w:t>
      </w:r>
      <w:proofErr w:type="spellStart"/>
      <w:r w:rsidRPr="00CE744B">
        <w:rPr>
          <w:rFonts w:cstheme="minorHAnsi"/>
          <w:color w:val="00417B" w:themeColor="background1" w:themeShade="BF"/>
          <w:szCs w:val="20"/>
        </w:rPr>
        <w:t>build</w:t>
      </w:r>
      <w:proofErr w:type="spellEnd"/>
      <w:r w:rsidRPr="00CE744B">
        <w:rPr>
          <w:rFonts w:cstheme="minorHAnsi"/>
          <w:color w:val="00417B" w:themeColor="background1" w:themeShade="BF"/>
          <w:szCs w:val="20"/>
        </w:rPr>
        <w:t xml:space="preserve"> et 6 mois de garantie. </w:t>
      </w:r>
    </w:p>
    <w:p w14:paraId="5A50B4CF" w14:textId="77777777" w:rsidR="00CE744B" w:rsidRPr="00CE744B" w:rsidRDefault="00CE744B" w:rsidP="00CE744B">
      <w:pPr>
        <w:autoSpaceDE w:val="0"/>
        <w:autoSpaceDN w:val="0"/>
        <w:adjustRightInd w:val="0"/>
        <w:spacing w:after="120" w:line="240" w:lineRule="auto"/>
        <w:jc w:val="both"/>
        <w:rPr>
          <w:rFonts w:cstheme="minorHAnsi"/>
          <w:color w:val="00417B" w:themeColor="background1" w:themeShade="BF"/>
          <w:szCs w:val="20"/>
        </w:rPr>
      </w:pPr>
      <w:bookmarkStart w:id="20" w:name="_Hlk166497395"/>
      <w:r w:rsidRPr="00CE744B">
        <w:rPr>
          <w:rFonts w:cstheme="minorHAnsi"/>
          <w:color w:val="00417B" w:themeColor="background1" w:themeShade="BF"/>
          <w:szCs w:val="20"/>
        </w:rPr>
        <w:t>Le montant maximum de la reconduction 1 de 12 mois est de 15 000 € HT intégrant la maintenance corrective et la maintenance évolutive (marchés subséquents).</w:t>
      </w:r>
    </w:p>
    <w:p w14:paraId="65354EE0" w14:textId="77777777" w:rsidR="00CE744B" w:rsidRPr="00CE744B" w:rsidRDefault="00CE744B" w:rsidP="00CE744B">
      <w:pPr>
        <w:autoSpaceDE w:val="0"/>
        <w:autoSpaceDN w:val="0"/>
        <w:adjustRightInd w:val="0"/>
        <w:spacing w:after="120" w:line="240" w:lineRule="auto"/>
        <w:jc w:val="both"/>
        <w:rPr>
          <w:rFonts w:cstheme="minorHAnsi"/>
          <w:color w:val="00417B" w:themeColor="background1" w:themeShade="BF"/>
          <w:szCs w:val="20"/>
        </w:rPr>
      </w:pPr>
      <w:r w:rsidRPr="00CE744B">
        <w:rPr>
          <w:rFonts w:cstheme="minorHAnsi"/>
          <w:color w:val="00417B" w:themeColor="background1" w:themeShade="BF"/>
          <w:szCs w:val="20"/>
        </w:rPr>
        <w:t>Le montant maximum de la reconduction 2 de 12 mois est de 15 000 € HT intégrant la maintenance corrective et la maintenance évolutive (marchés subséquents).</w:t>
      </w:r>
    </w:p>
    <w:bookmarkEnd w:id="16"/>
    <w:bookmarkEnd w:id="17"/>
    <w:bookmarkEnd w:id="19"/>
    <w:bookmarkEnd w:id="20"/>
    <w:p w14:paraId="0FC38FAE" w14:textId="77777777" w:rsidR="00CE744B" w:rsidRPr="00CE744B" w:rsidRDefault="00CE744B" w:rsidP="00CE744B">
      <w:pPr>
        <w:autoSpaceDE w:val="0"/>
        <w:autoSpaceDN w:val="0"/>
        <w:adjustRightInd w:val="0"/>
        <w:spacing w:after="120" w:line="240" w:lineRule="auto"/>
        <w:jc w:val="both"/>
        <w:rPr>
          <w:rFonts w:cstheme="minorHAnsi"/>
          <w:color w:val="00417B" w:themeColor="background1" w:themeShade="BF"/>
          <w:szCs w:val="20"/>
        </w:rPr>
      </w:pPr>
      <w:r w:rsidRPr="00CE744B">
        <w:rPr>
          <w:rFonts w:cstheme="minorHAnsi"/>
          <w:color w:val="00417B" w:themeColor="background1" w:themeShade="BF"/>
          <w:szCs w:val="20"/>
        </w:rPr>
        <w:t xml:space="preserve">Les prix du Bordereau des Prix Unitaires de l’accord cadre constituent les prix plafonds des marchés subséquents. Le titulaire établira un </w:t>
      </w:r>
      <w:bookmarkStart w:id="21" w:name="_Hlk165442922"/>
      <w:r w:rsidRPr="00CE744B">
        <w:rPr>
          <w:rFonts w:cstheme="minorHAnsi"/>
          <w:color w:val="00417B" w:themeColor="background1" w:themeShade="BF"/>
          <w:szCs w:val="20"/>
        </w:rPr>
        <w:t>Bordereau des Prix Unitaires complémentaire</w:t>
      </w:r>
      <w:bookmarkEnd w:id="21"/>
      <w:r w:rsidRPr="00CE744B">
        <w:rPr>
          <w:rFonts w:cstheme="minorHAnsi"/>
          <w:color w:val="00417B" w:themeColor="background1" w:themeShade="BF"/>
          <w:szCs w:val="20"/>
        </w:rPr>
        <w:t>, avec les prix nouveaux le cas échéant.</w:t>
      </w:r>
    </w:p>
    <w:p w14:paraId="3D206D1B" w14:textId="77777777" w:rsidR="00396160" w:rsidRPr="00441CDB" w:rsidRDefault="00396160" w:rsidP="00AD794F">
      <w:pPr>
        <w:autoSpaceDE w:val="0"/>
        <w:autoSpaceDN w:val="0"/>
        <w:adjustRightInd w:val="0"/>
        <w:spacing w:after="240" w:line="240" w:lineRule="auto"/>
        <w:jc w:val="both"/>
        <w:rPr>
          <w:rFonts w:cstheme="minorHAnsi"/>
          <w:szCs w:val="20"/>
        </w:rPr>
      </w:pPr>
    </w:p>
    <w:p w14:paraId="7A4E5E41" w14:textId="7BA08CB8" w:rsidR="003263A8" w:rsidRPr="00396160" w:rsidRDefault="00FC33E4" w:rsidP="00396160">
      <w:pPr>
        <w:pStyle w:val="ARTICLE"/>
        <w:spacing w:after="120"/>
        <w:ind w:hanging="720"/>
        <w:outlineLvl w:val="0"/>
        <w:rPr>
          <w:szCs w:val="20"/>
        </w:rPr>
      </w:pPr>
      <w:r>
        <w:rPr>
          <w:szCs w:val="20"/>
        </w:rPr>
        <w:t>DUREE DU MARCHE</w:t>
      </w:r>
      <w:r w:rsidR="00B93C02">
        <w:rPr>
          <w:szCs w:val="20"/>
        </w:rPr>
        <w:t xml:space="preserve"> ET DELAIS D’EXECUTION</w:t>
      </w:r>
    </w:p>
    <w:p w14:paraId="6B11836A"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r w:rsidRPr="00651686">
        <w:rPr>
          <w:rFonts w:asciiTheme="minorHAnsi" w:eastAsiaTheme="minorHAnsi" w:hAnsiTheme="minorHAnsi" w:cstheme="minorHAnsi"/>
          <w:color w:val="00417B" w:themeColor="background1" w:themeShade="BF"/>
          <w:sz w:val="20"/>
          <w:szCs w:val="20"/>
        </w:rPr>
        <w:t xml:space="preserve">L’accord cadre est conclu pour une durée de 12 mois à compter de sa notification.  </w:t>
      </w:r>
    </w:p>
    <w:p w14:paraId="19EB56F2"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p>
    <w:p w14:paraId="747348DE"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r w:rsidRPr="00651686">
        <w:rPr>
          <w:rFonts w:asciiTheme="minorHAnsi" w:eastAsiaTheme="minorHAnsi" w:hAnsiTheme="minorHAnsi" w:cstheme="minorHAnsi"/>
          <w:color w:val="00417B" w:themeColor="background1" w:themeShade="BF"/>
          <w:sz w:val="20"/>
          <w:szCs w:val="20"/>
        </w:rPr>
        <w:t>Etant entendu que le démarrage du projet (kick-off) est fixé au début du mois de janvier 2026.</w:t>
      </w:r>
    </w:p>
    <w:p w14:paraId="05BF6D61"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p>
    <w:p w14:paraId="1BD3D81D"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r w:rsidRPr="00651686">
        <w:rPr>
          <w:rFonts w:asciiTheme="minorHAnsi" w:eastAsiaTheme="minorHAnsi" w:hAnsiTheme="minorHAnsi" w:cstheme="minorHAnsi"/>
          <w:color w:val="00417B" w:themeColor="background1" w:themeShade="BF"/>
          <w:sz w:val="20"/>
          <w:szCs w:val="20"/>
        </w:rPr>
        <w:t>L’accord cadre sera reconductible 2 fois par tacite reconduction pour une période de 12 mois, soit une durée globale de 36 mois maximum.</w:t>
      </w:r>
    </w:p>
    <w:p w14:paraId="29169B04"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p>
    <w:p w14:paraId="6345B10F"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r w:rsidRPr="00651686">
        <w:rPr>
          <w:rFonts w:asciiTheme="minorHAnsi" w:eastAsiaTheme="minorHAnsi" w:hAnsiTheme="minorHAnsi" w:cstheme="minorHAnsi"/>
          <w:b/>
          <w:bCs/>
          <w:color w:val="00417B" w:themeColor="background1" w:themeShade="BF"/>
          <w:sz w:val="20"/>
          <w:szCs w:val="20"/>
        </w:rPr>
        <w:t>Modalités de reconduction</w:t>
      </w:r>
      <w:r w:rsidRPr="00651686">
        <w:rPr>
          <w:rFonts w:asciiTheme="minorHAnsi" w:eastAsiaTheme="minorHAnsi" w:hAnsiTheme="minorHAnsi" w:cstheme="minorHAnsi"/>
          <w:color w:val="00417B" w:themeColor="background1" w:themeShade="BF"/>
          <w:sz w:val="20"/>
          <w:szCs w:val="20"/>
        </w:rPr>
        <w:t xml:space="preserve"> :</w:t>
      </w:r>
    </w:p>
    <w:p w14:paraId="03A666AB"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r w:rsidRPr="00651686">
        <w:rPr>
          <w:rFonts w:asciiTheme="minorHAnsi" w:eastAsiaTheme="minorHAnsi" w:hAnsiTheme="minorHAnsi" w:cstheme="minorHAnsi"/>
          <w:color w:val="00417B" w:themeColor="background1" w:themeShade="BF"/>
          <w:sz w:val="20"/>
          <w:szCs w:val="20"/>
        </w:rPr>
        <w:t>Le contrat est reconduit de manière tacite. L'acheteur notifie la décision de ne pas reconduire le contrat 2 mois avant la date de fin de la période d'exécution en cours.</w:t>
      </w:r>
    </w:p>
    <w:p w14:paraId="21BD55E9"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r w:rsidRPr="00651686">
        <w:rPr>
          <w:rFonts w:asciiTheme="minorHAnsi" w:eastAsiaTheme="minorHAnsi" w:hAnsiTheme="minorHAnsi" w:cstheme="minorHAnsi"/>
          <w:color w:val="00417B" w:themeColor="background1" w:themeShade="BF"/>
          <w:sz w:val="20"/>
          <w:szCs w:val="20"/>
        </w:rPr>
        <w:t>Le titulaire ne peut pas refuser la décision de reconduction du contrat.</w:t>
      </w:r>
    </w:p>
    <w:p w14:paraId="7795906D"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p>
    <w:p w14:paraId="3FD29C0F" w14:textId="77777777" w:rsidR="00651686" w:rsidRPr="00651686" w:rsidRDefault="00651686" w:rsidP="00651686">
      <w:pPr>
        <w:pStyle w:val="Sous-titrecyan"/>
        <w:jc w:val="both"/>
        <w:rPr>
          <w:rFonts w:asciiTheme="minorHAnsi" w:eastAsiaTheme="minorHAnsi" w:hAnsiTheme="minorHAnsi" w:cstheme="minorHAnsi"/>
          <w:b/>
          <w:bCs/>
          <w:color w:val="00417B" w:themeColor="background1" w:themeShade="BF"/>
          <w:sz w:val="20"/>
          <w:szCs w:val="20"/>
        </w:rPr>
      </w:pPr>
      <w:r w:rsidRPr="00651686">
        <w:rPr>
          <w:rFonts w:asciiTheme="minorHAnsi" w:eastAsiaTheme="minorHAnsi" w:hAnsiTheme="minorHAnsi" w:cstheme="minorHAnsi"/>
          <w:b/>
          <w:bCs/>
          <w:color w:val="00417B" w:themeColor="background1" w:themeShade="BF"/>
          <w:sz w:val="20"/>
          <w:szCs w:val="20"/>
        </w:rPr>
        <w:t xml:space="preserve">Durée maximale d’exécution des bons de commande : </w:t>
      </w:r>
    </w:p>
    <w:p w14:paraId="0DB9CC09"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r w:rsidRPr="00651686">
        <w:rPr>
          <w:rFonts w:asciiTheme="minorHAnsi" w:eastAsiaTheme="minorHAnsi" w:hAnsiTheme="minorHAnsi" w:cstheme="minorHAnsi"/>
          <w:color w:val="00417B" w:themeColor="background1" w:themeShade="BF"/>
          <w:sz w:val="20"/>
          <w:szCs w:val="20"/>
        </w:rPr>
        <w:t>-</w:t>
      </w:r>
      <w:r w:rsidRPr="00651686">
        <w:rPr>
          <w:rFonts w:asciiTheme="minorHAnsi" w:eastAsiaTheme="minorHAnsi" w:hAnsiTheme="minorHAnsi" w:cstheme="minorHAnsi"/>
          <w:color w:val="00417B" w:themeColor="background1" w:themeShade="BF"/>
          <w:sz w:val="20"/>
          <w:szCs w:val="20"/>
        </w:rPr>
        <w:tab/>
        <w:t>12 mois pour la maintenance préventive, corrective et adaptative, mises à jour fonctionnelle et technique. Assistance sur la solution</w:t>
      </w:r>
    </w:p>
    <w:p w14:paraId="2BD52DEB" w14:textId="77777777" w:rsidR="00651686" w:rsidRPr="00651686" w:rsidRDefault="00651686" w:rsidP="00651686">
      <w:pPr>
        <w:pStyle w:val="Sous-titrecyan"/>
        <w:jc w:val="both"/>
        <w:rPr>
          <w:rFonts w:asciiTheme="minorHAnsi" w:eastAsiaTheme="minorHAnsi" w:hAnsiTheme="minorHAnsi" w:cstheme="minorHAnsi"/>
          <w:color w:val="00417B" w:themeColor="background1" w:themeShade="BF"/>
          <w:sz w:val="20"/>
          <w:szCs w:val="20"/>
        </w:rPr>
      </w:pPr>
      <w:r w:rsidRPr="00651686">
        <w:rPr>
          <w:rFonts w:asciiTheme="minorHAnsi" w:eastAsiaTheme="minorHAnsi" w:hAnsiTheme="minorHAnsi" w:cstheme="minorHAnsi"/>
          <w:color w:val="00417B" w:themeColor="background1" w:themeShade="BF"/>
          <w:sz w:val="20"/>
          <w:szCs w:val="20"/>
        </w:rPr>
        <w:t>-</w:t>
      </w:r>
      <w:r w:rsidRPr="00651686">
        <w:rPr>
          <w:rFonts w:asciiTheme="minorHAnsi" w:eastAsiaTheme="minorHAnsi" w:hAnsiTheme="minorHAnsi" w:cstheme="minorHAnsi"/>
          <w:color w:val="00417B" w:themeColor="background1" w:themeShade="BF"/>
          <w:sz w:val="20"/>
          <w:szCs w:val="20"/>
        </w:rPr>
        <w:tab/>
        <w:t>6 mois pour les autres prestations</w:t>
      </w:r>
    </w:p>
    <w:p w14:paraId="2C4F5023" w14:textId="77777777" w:rsidR="00651686" w:rsidRPr="0087730A" w:rsidRDefault="00651686" w:rsidP="00651686">
      <w:pPr>
        <w:pStyle w:val="Sous-titrecyan"/>
        <w:jc w:val="both"/>
        <w:rPr>
          <w:rFonts w:asciiTheme="minorHAnsi" w:eastAsiaTheme="minorHAnsi" w:hAnsiTheme="minorHAnsi" w:cstheme="minorBidi"/>
          <w:color w:val="262626" w:themeColor="text1" w:themeShade="80"/>
          <w:sz w:val="20"/>
          <w:szCs w:val="20"/>
        </w:rPr>
      </w:pPr>
    </w:p>
    <w:p w14:paraId="66299BC6" w14:textId="77777777" w:rsidR="00651686" w:rsidRPr="00E76E35" w:rsidRDefault="00651686" w:rsidP="00651686">
      <w:pPr>
        <w:jc w:val="both"/>
        <w:rPr>
          <w:rFonts w:cstheme="minorHAnsi"/>
          <w:color w:val="00417B" w:themeColor="background1" w:themeShade="BF"/>
          <w:szCs w:val="20"/>
        </w:rPr>
      </w:pPr>
      <w:r w:rsidRPr="00E76E35">
        <w:rPr>
          <w:rFonts w:cstheme="minorHAnsi"/>
          <w:b/>
          <w:bCs/>
          <w:color w:val="00417B" w:themeColor="background1" w:themeShade="BF"/>
          <w:szCs w:val="20"/>
        </w:rPr>
        <w:t>La conclusion des marchés subséquents</w:t>
      </w:r>
      <w:r w:rsidRPr="00E76E35">
        <w:rPr>
          <w:rFonts w:cstheme="minorHAnsi"/>
          <w:color w:val="00417B" w:themeColor="background1" w:themeShade="BF"/>
          <w:szCs w:val="20"/>
        </w:rPr>
        <w:t xml:space="preserve"> ne peut se faire que pendant la durée de validité de l'accord-cadre. Le délai d'exécution d'un marché subséquent ne peut se prolonger au-delà de la date limite de validité fixée dans ce dernier.</w:t>
      </w:r>
      <w:r w:rsidRPr="00E76E35">
        <w:rPr>
          <w:rFonts w:cs="Arial"/>
          <w:color w:val="00417B" w:themeColor="background1" w:themeShade="BF"/>
          <w:szCs w:val="20"/>
        </w:rPr>
        <w:t xml:space="preserve"> </w:t>
      </w:r>
      <w:r w:rsidRPr="00E76E35">
        <w:rPr>
          <w:rFonts w:cstheme="minorHAnsi"/>
          <w:color w:val="00417B" w:themeColor="background1" w:themeShade="BF"/>
          <w:szCs w:val="20"/>
        </w:rPr>
        <w:t>Le délai est fixé par l’acheteur dans les documents particuliers du marché subséquent.</w:t>
      </w:r>
    </w:p>
    <w:p w14:paraId="40AA6D0B" w14:textId="6235DA76" w:rsidR="00E61239" w:rsidRPr="00AC0D27" w:rsidRDefault="00651686" w:rsidP="00651686">
      <w:pPr>
        <w:jc w:val="both"/>
        <w:rPr>
          <w:rFonts w:cstheme="minorHAnsi"/>
          <w:color w:val="00417B" w:themeColor="background1" w:themeShade="BF"/>
          <w:szCs w:val="20"/>
        </w:rPr>
      </w:pPr>
      <w:r w:rsidRPr="00E76E35">
        <w:rPr>
          <w:rFonts w:cstheme="minorHAnsi"/>
          <w:b/>
          <w:bCs/>
          <w:color w:val="00417B" w:themeColor="background1" w:themeShade="BF"/>
          <w:szCs w:val="20"/>
        </w:rPr>
        <w:t>Prestations similaires :</w:t>
      </w:r>
      <w:r w:rsidRPr="00E76E35">
        <w:rPr>
          <w:rFonts w:cstheme="minorHAnsi"/>
          <w:color w:val="00417B" w:themeColor="background1" w:themeShade="BF"/>
          <w:szCs w:val="20"/>
        </w:rPr>
        <w:t xml:space="preserve"> Les opérateurs économiques sont informés que le pouvoir adjudicateur pourra passer un marché sans publicité ni mise en concurrence préalables pour des prestations similaires à celles confiées au titulaire du présent marché public, en application de l'article R 2122-7 du Code de la Commande Publique, si les conditions sont remplies.</w:t>
      </w:r>
    </w:p>
    <w:p w14:paraId="2D68323A" w14:textId="758ADB80" w:rsidR="00651686" w:rsidRPr="00651686" w:rsidRDefault="00391410" w:rsidP="00651686">
      <w:pPr>
        <w:pStyle w:val="ARTICLE"/>
        <w:spacing w:after="120"/>
        <w:ind w:hanging="720"/>
        <w:outlineLvl w:val="0"/>
        <w:rPr>
          <w:szCs w:val="20"/>
        </w:rPr>
      </w:pPr>
      <w:r>
        <w:rPr>
          <w:szCs w:val="20"/>
        </w:rPr>
        <w:t>PRIX</w:t>
      </w:r>
      <w:r w:rsidR="00D669A3">
        <w:rPr>
          <w:szCs w:val="20"/>
        </w:rPr>
        <w:t xml:space="preserve"> – CONTENU – VARIATION DU PRIX</w:t>
      </w:r>
    </w:p>
    <w:p w14:paraId="52284352" w14:textId="77777777" w:rsidR="00651686" w:rsidRPr="00651686" w:rsidRDefault="00651686" w:rsidP="00651686">
      <w:pPr>
        <w:autoSpaceDE w:val="0"/>
        <w:autoSpaceDN w:val="0"/>
        <w:adjustRightInd w:val="0"/>
        <w:spacing w:after="0" w:line="240" w:lineRule="auto"/>
        <w:jc w:val="both"/>
        <w:rPr>
          <w:rFonts w:cstheme="minorHAnsi"/>
          <w:color w:val="00417B" w:themeColor="background1" w:themeShade="BF"/>
          <w:szCs w:val="20"/>
        </w:rPr>
      </w:pPr>
      <w:r w:rsidRPr="00651686">
        <w:rPr>
          <w:rFonts w:cstheme="minorHAnsi"/>
          <w:color w:val="00417B" w:themeColor="background1" w:themeShade="BF"/>
          <w:szCs w:val="20"/>
        </w:rPr>
        <w:t xml:space="preserve">L’accord-cadre est sans seuil minimum et avec un seuil maximum de 80 000 € HT sur la durée totale de l’accord cadre de 36 mois, reconductions comprises. </w:t>
      </w:r>
    </w:p>
    <w:p w14:paraId="19E05FFF" w14:textId="77777777" w:rsidR="00214F32" w:rsidRDefault="00214F32" w:rsidP="00651686">
      <w:pPr>
        <w:autoSpaceDE w:val="0"/>
        <w:autoSpaceDN w:val="0"/>
        <w:adjustRightInd w:val="0"/>
        <w:spacing w:after="0" w:line="240" w:lineRule="auto"/>
        <w:jc w:val="both"/>
        <w:rPr>
          <w:rFonts w:cstheme="minorHAnsi"/>
          <w:color w:val="00417B" w:themeColor="background1" w:themeShade="BF"/>
          <w:szCs w:val="20"/>
        </w:rPr>
      </w:pPr>
    </w:p>
    <w:p w14:paraId="6DAB6F9C" w14:textId="0417A34C" w:rsidR="00651686" w:rsidRPr="00651686" w:rsidRDefault="00651686" w:rsidP="00651686">
      <w:pPr>
        <w:autoSpaceDE w:val="0"/>
        <w:autoSpaceDN w:val="0"/>
        <w:adjustRightInd w:val="0"/>
        <w:spacing w:after="0" w:line="240" w:lineRule="auto"/>
        <w:jc w:val="both"/>
        <w:rPr>
          <w:rFonts w:cstheme="minorHAnsi"/>
          <w:color w:val="00417B" w:themeColor="background1" w:themeShade="BF"/>
          <w:szCs w:val="20"/>
        </w:rPr>
      </w:pPr>
      <w:r w:rsidRPr="00651686">
        <w:rPr>
          <w:rFonts w:cstheme="minorHAnsi"/>
          <w:color w:val="00417B" w:themeColor="background1" w:themeShade="BF"/>
          <w:szCs w:val="20"/>
        </w:rPr>
        <w:t xml:space="preserve">Le montant maximum pour la première année est fixé à 50 000 € HT prenant en compte 6 mois de </w:t>
      </w:r>
      <w:proofErr w:type="spellStart"/>
      <w:r w:rsidRPr="00651686">
        <w:rPr>
          <w:rFonts w:cstheme="minorHAnsi"/>
          <w:color w:val="00417B" w:themeColor="background1" w:themeShade="BF"/>
          <w:szCs w:val="20"/>
        </w:rPr>
        <w:t>build</w:t>
      </w:r>
      <w:proofErr w:type="spellEnd"/>
      <w:r w:rsidRPr="00651686">
        <w:rPr>
          <w:rFonts w:cstheme="minorHAnsi"/>
          <w:color w:val="00417B" w:themeColor="background1" w:themeShade="BF"/>
          <w:szCs w:val="20"/>
        </w:rPr>
        <w:t xml:space="preserve"> et 6 mois de garantie. </w:t>
      </w:r>
    </w:p>
    <w:p w14:paraId="64BEF604" w14:textId="77777777" w:rsidR="00214F32" w:rsidRDefault="00214F32" w:rsidP="00651686">
      <w:pPr>
        <w:autoSpaceDE w:val="0"/>
        <w:autoSpaceDN w:val="0"/>
        <w:adjustRightInd w:val="0"/>
        <w:spacing w:after="0" w:line="240" w:lineRule="auto"/>
        <w:jc w:val="both"/>
        <w:rPr>
          <w:rFonts w:cstheme="minorHAnsi"/>
          <w:color w:val="00417B" w:themeColor="background1" w:themeShade="BF"/>
          <w:szCs w:val="20"/>
        </w:rPr>
      </w:pPr>
    </w:p>
    <w:p w14:paraId="64E5B72B" w14:textId="4FCF74C1" w:rsidR="00651686" w:rsidRPr="00651686" w:rsidRDefault="00651686" w:rsidP="00651686">
      <w:pPr>
        <w:autoSpaceDE w:val="0"/>
        <w:autoSpaceDN w:val="0"/>
        <w:adjustRightInd w:val="0"/>
        <w:spacing w:after="0" w:line="240" w:lineRule="auto"/>
        <w:jc w:val="both"/>
        <w:rPr>
          <w:rFonts w:cstheme="minorHAnsi"/>
          <w:color w:val="00417B" w:themeColor="background1" w:themeShade="BF"/>
          <w:szCs w:val="20"/>
        </w:rPr>
      </w:pPr>
      <w:r w:rsidRPr="00651686">
        <w:rPr>
          <w:rFonts w:cstheme="minorHAnsi"/>
          <w:color w:val="00417B" w:themeColor="background1" w:themeShade="BF"/>
          <w:szCs w:val="20"/>
        </w:rPr>
        <w:t>Le montant maximum de la reconduction 1 de 12 mois est de 15 000 € HT intégrant la maintenance corrective et la maintenance évolutive (marchés subséquents).</w:t>
      </w:r>
    </w:p>
    <w:p w14:paraId="0DC7F9DA" w14:textId="77777777" w:rsidR="00214F32" w:rsidRDefault="00214F32" w:rsidP="00651686">
      <w:pPr>
        <w:autoSpaceDE w:val="0"/>
        <w:autoSpaceDN w:val="0"/>
        <w:adjustRightInd w:val="0"/>
        <w:spacing w:after="0" w:line="240" w:lineRule="auto"/>
        <w:jc w:val="both"/>
        <w:rPr>
          <w:rFonts w:cstheme="minorHAnsi"/>
          <w:color w:val="00417B" w:themeColor="background1" w:themeShade="BF"/>
          <w:szCs w:val="20"/>
        </w:rPr>
      </w:pPr>
    </w:p>
    <w:p w14:paraId="5BB0E46E" w14:textId="0CF0D27F" w:rsidR="00651686" w:rsidRPr="00651686" w:rsidRDefault="00651686" w:rsidP="00651686">
      <w:pPr>
        <w:autoSpaceDE w:val="0"/>
        <w:autoSpaceDN w:val="0"/>
        <w:adjustRightInd w:val="0"/>
        <w:spacing w:after="0" w:line="240" w:lineRule="auto"/>
        <w:jc w:val="both"/>
        <w:rPr>
          <w:rFonts w:cstheme="minorHAnsi"/>
          <w:color w:val="00417B" w:themeColor="background1" w:themeShade="BF"/>
          <w:szCs w:val="20"/>
        </w:rPr>
      </w:pPr>
      <w:r w:rsidRPr="00651686">
        <w:rPr>
          <w:rFonts w:cstheme="minorHAnsi"/>
          <w:color w:val="00417B" w:themeColor="background1" w:themeShade="BF"/>
          <w:szCs w:val="20"/>
        </w:rPr>
        <w:t>Le montant maximum de la reconduction 2 de 12 mois est de 15 000 € HT intégrant la maintenance corrective et la maintenance évolutive (marchés subséquents).</w:t>
      </w:r>
    </w:p>
    <w:p w14:paraId="73F9ED4E" w14:textId="77777777" w:rsidR="00214F32" w:rsidRDefault="00214F32" w:rsidP="00651686">
      <w:pPr>
        <w:autoSpaceDE w:val="0"/>
        <w:autoSpaceDN w:val="0"/>
        <w:adjustRightInd w:val="0"/>
        <w:spacing w:after="0" w:line="240" w:lineRule="auto"/>
        <w:jc w:val="both"/>
        <w:rPr>
          <w:rFonts w:cstheme="minorHAnsi"/>
          <w:color w:val="00417B" w:themeColor="background1" w:themeShade="BF"/>
          <w:szCs w:val="20"/>
        </w:rPr>
      </w:pPr>
    </w:p>
    <w:p w14:paraId="2C383ACF" w14:textId="4BC8DE03" w:rsidR="00651686" w:rsidRPr="00651686" w:rsidRDefault="00651686" w:rsidP="00651686">
      <w:pPr>
        <w:autoSpaceDE w:val="0"/>
        <w:autoSpaceDN w:val="0"/>
        <w:adjustRightInd w:val="0"/>
        <w:spacing w:after="0" w:line="240" w:lineRule="auto"/>
        <w:jc w:val="both"/>
        <w:rPr>
          <w:rFonts w:cstheme="minorHAnsi"/>
          <w:color w:val="00417B" w:themeColor="background1" w:themeShade="BF"/>
          <w:szCs w:val="20"/>
        </w:rPr>
      </w:pPr>
      <w:r w:rsidRPr="00651686">
        <w:rPr>
          <w:rFonts w:cstheme="minorHAnsi"/>
          <w:color w:val="00417B" w:themeColor="background1" w:themeShade="BF"/>
          <w:szCs w:val="20"/>
        </w:rPr>
        <w:t>Les prix du Bordereau des Prix Unitaires de l’accord cadre constituent les prix plafonds des marchés subséquents. Le titulaire établira un Bordereau des Prix Unitaires complémentaire, avec les prix nouveaux le cas échéant.</w:t>
      </w:r>
    </w:p>
    <w:p w14:paraId="53196866" w14:textId="77777777" w:rsidR="00542C56" w:rsidRDefault="00542C56" w:rsidP="00E76E35">
      <w:pPr>
        <w:autoSpaceDE w:val="0"/>
        <w:autoSpaceDN w:val="0"/>
        <w:adjustRightInd w:val="0"/>
        <w:spacing w:after="0" w:line="240" w:lineRule="auto"/>
        <w:jc w:val="both"/>
        <w:rPr>
          <w:rFonts w:cstheme="minorHAnsi"/>
          <w:color w:val="00417B" w:themeColor="background1" w:themeShade="BF"/>
          <w:szCs w:val="20"/>
        </w:rPr>
      </w:pPr>
    </w:p>
    <w:p w14:paraId="6A8959C2" w14:textId="77777777" w:rsidR="00E76E35" w:rsidRPr="009962D6" w:rsidRDefault="00E76E35" w:rsidP="00E76E35">
      <w:pPr>
        <w:autoSpaceDE w:val="0"/>
        <w:autoSpaceDN w:val="0"/>
        <w:adjustRightInd w:val="0"/>
        <w:spacing w:after="0" w:line="240" w:lineRule="auto"/>
        <w:jc w:val="both"/>
        <w:rPr>
          <w:rFonts w:cstheme="minorHAnsi"/>
          <w:color w:val="00417B" w:themeColor="background1" w:themeShade="BF"/>
          <w:szCs w:val="20"/>
        </w:rPr>
      </w:pPr>
    </w:p>
    <w:p w14:paraId="2005952A" w14:textId="396B382F" w:rsidR="00FD1B1C" w:rsidRDefault="004B780E" w:rsidP="009E7CFE">
      <w:pPr>
        <w:autoSpaceDE w:val="0"/>
        <w:autoSpaceDN w:val="0"/>
        <w:adjustRightInd w:val="0"/>
        <w:spacing w:after="0" w:line="240" w:lineRule="auto"/>
        <w:jc w:val="both"/>
        <w:rPr>
          <w:rFonts w:cs="Arial"/>
          <w:color w:val="00417B" w:themeColor="background1" w:themeShade="BF"/>
          <w:sz w:val="22"/>
        </w:rPr>
      </w:pPr>
      <w:r w:rsidRPr="009962D6">
        <w:rPr>
          <w:rFonts w:cstheme="minorHAnsi"/>
          <w:color w:val="00417B" w:themeColor="background1" w:themeShade="BF"/>
          <w:szCs w:val="20"/>
        </w:rPr>
        <w:t xml:space="preserve">Pour la variation des prix se reporter à l’article </w:t>
      </w:r>
      <w:r w:rsidR="00651686">
        <w:rPr>
          <w:rFonts w:cstheme="minorHAnsi"/>
          <w:color w:val="00417B" w:themeColor="background1" w:themeShade="BF"/>
          <w:szCs w:val="20"/>
        </w:rPr>
        <w:t>4</w:t>
      </w:r>
      <w:r w:rsidR="00E76E35">
        <w:rPr>
          <w:rFonts w:cstheme="minorHAnsi"/>
          <w:color w:val="00417B" w:themeColor="background1" w:themeShade="BF"/>
          <w:szCs w:val="20"/>
        </w:rPr>
        <w:t>.2</w:t>
      </w:r>
      <w:r w:rsidRPr="009962D6">
        <w:rPr>
          <w:rFonts w:cstheme="minorHAnsi"/>
          <w:color w:val="00417B" w:themeColor="background1" w:themeShade="BF"/>
          <w:szCs w:val="20"/>
        </w:rPr>
        <w:t xml:space="preserve"> du CCAP.</w:t>
      </w:r>
    </w:p>
    <w:p w14:paraId="288F8B8A" w14:textId="25E8FAC3" w:rsidR="001E0B1C" w:rsidRDefault="001E0B1C" w:rsidP="009E7CFE">
      <w:pPr>
        <w:autoSpaceDE w:val="0"/>
        <w:autoSpaceDN w:val="0"/>
        <w:adjustRightInd w:val="0"/>
        <w:spacing w:after="0" w:line="240" w:lineRule="auto"/>
        <w:jc w:val="both"/>
        <w:rPr>
          <w:rFonts w:cs="Arial"/>
          <w:color w:val="00417B" w:themeColor="background1" w:themeShade="BF"/>
          <w:sz w:val="22"/>
        </w:rPr>
      </w:pPr>
    </w:p>
    <w:p w14:paraId="75E8C535" w14:textId="77777777" w:rsidR="001E0B1C" w:rsidRPr="009E7CFE" w:rsidRDefault="001E0B1C" w:rsidP="009E7CFE">
      <w:pPr>
        <w:autoSpaceDE w:val="0"/>
        <w:autoSpaceDN w:val="0"/>
        <w:adjustRightInd w:val="0"/>
        <w:spacing w:after="0" w:line="240" w:lineRule="auto"/>
        <w:jc w:val="both"/>
        <w:rPr>
          <w:rFonts w:cs="Arial"/>
          <w:color w:val="00417B" w:themeColor="background1" w:themeShade="BF"/>
          <w:sz w:val="22"/>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327C4BC6"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 xml:space="preserve">.1 -Répartition des paiements en cas de groupement conjoint </w:t>
      </w:r>
    </w:p>
    <w:p w14:paraId="288C6C5B" w14:textId="5611CFD5" w:rsidR="00472F26" w:rsidRPr="00472F26" w:rsidRDefault="00472F26" w:rsidP="00472F26">
      <w:pPr>
        <w:tabs>
          <w:tab w:val="left" w:pos="426"/>
        </w:tabs>
        <w:suppressAutoHyphens/>
        <w:spacing w:before="240" w:after="120" w:line="240" w:lineRule="auto"/>
        <w:jc w:val="both"/>
        <w:rPr>
          <w:rFonts w:cstheme="minorHAnsi"/>
          <w:bCs/>
          <w:color w:val="00417B"/>
          <w:szCs w:val="20"/>
        </w:rPr>
      </w:pPr>
      <w:r w:rsidRPr="00472F26">
        <w:rPr>
          <w:rFonts w:cstheme="minorHAnsi"/>
          <w:bCs/>
          <w:color w:val="00417B"/>
          <w:szCs w:val="20"/>
        </w:rPr>
        <w:t>La répartition entre co-traitant sera déterminée dans chaque bon de commande et/ou à chaque marché subséquent.</w:t>
      </w:r>
    </w:p>
    <w:p w14:paraId="64B04EAE" w14:textId="2395DF28"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.2–Sous-traitance</w:t>
      </w:r>
    </w:p>
    <w:p w14:paraId="5AC762E5"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n’envisage/n’envisageons pas de </w:t>
      </w:r>
      <w:proofErr w:type="spellStart"/>
      <w:r w:rsidRPr="009402CB">
        <w:rPr>
          <w:rFonts w:eastAsia="Times New Roman" w:cstheme="minorHAnsi"/>
          <w:color w:val="00417B"/>
          <w:szCs w:val="20"/>
          <w:lang w:eastAsia="zh-CN"/>
        </w:rPr>
        <w:t>sous traiter</w:t>
      </w:r>
      <w:proofErr w:type="spellEnd"/>
      <w:r w:rsidRPr="009402CB">
        <w:rPr>
          <w:rFonts w:eastAsia="Times New Roman" w:cstheme="minorHAnsi"/>
          <w:color w:val="00417B"/>
          <w:szCs w:val="20"/>
          <w:lang w:eastAsia="zh-CN"/>
        </w:rPr>
        <w:t xml:space="preserve"> une partie des prestations prévues au marché</w:t>
      </w:r>
    </w:p>
    <w:p w14:paraId="2E29C46F" w14:textId="77777777" w:rsidR="006D0285" w:rsidRPr="009402CB" w:rsidRDefault="006D0285" w:rsidP="006D0285">
      <w:pPr>
        <w:tabs>
          <w:tab w:val="left" w:pos="426"/>
        </w:tabs>
        <w:suppressAutoHyphens/>
        <w:spacing w:before="120" w:after="120" w:line="240" w:lineRule="auto"/>
        <w:rPr>
          <w:rStyle w:val="lev"/>
          <w:rFonts w:eastAsia="Times New Roman" w:cstheme="minorHAnsi"/>
          <w:b w:val="0"/>
          <w:bCs w:val="0"/>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envisage/envisageons de </w:t>
      </w:r>
      <w:proofErr w:type="spellStart"/>
      <w:r w:rsidRPr="009402CB">
        <w:rPr>
          <w:rFonts w:eastAsia="Times New Roman" w:cstheme="minorHAnsi"/>
          <w:color w:val="00417B"/>
          <w:szCs w:val="20"/>
          <w:lang w:eastAsia="zh-CN"/>
        </w:rPr>
        <w:t>sous traiter</w:t>
      </w:r>
      <w:proofErr w:type="spellEnd"/>
      <w:r w:rsidRPr="009402CB">
        <w:rPr>
          <w:rFonts w:eastAsia="Times New Roman" w:cstheme="minorHAnsi"/>
          <w:color w:val="00417B"/>
          <w:szCs w:val="20"/>
          <w:lang w:eastAsia="zh-CN"/>
        </w:rPr>
        <w:t xml:space="preserve"> une partie des prestations prévues au marché</w:t>
      </w:r>
    </w:p>
    <w:p w14:paraId="6A0DA633" w14:textId="7CC5DC3A" w:rsidR="006D0285" w:rsidRDefault="006D0285" w:rsidP="006D0285">
      <w:pPr>
        <w:tabs>
          <w:tab w:val="left" w:pos="3005"/>
        </w:tabs>
      </w:pPr>
    </w:p>
    <w:p w14:paraId="1819E8D3" w14:textId="77337C4A" w:rsidR="00CA5E73" w:rsidRPr="00CA5E73" w:rsidRDefault="00CA5E73" w:rsidP="00CA5E73">
      <w:pPr>
        <w:pStyle w:val="ARTICLE"/>
        <w:spacing w:after="120"/>
        <w:ind w:hanging="720"/>
        <w:outlineLvl w:val="0"/>
      </w:pPr>
      <w:r w:rsidRPr="00CA5E73">
        <w:t>PAIEMENT - AVANCE</w:t>
      </w:r>
    </w:p>
    <w:p w14:paraId="3463C53D" w14:textId="036B8BCC" w:rsidR="00CA5E73" w:rsidRPr="00391410" w:rsidRDefault="00D669A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.1 - Compte (s) à créditer (candidat seul / mandataire du groupement / compte unique) :</w:t>
      </w:r>
    </w:p>
    <w:p w14:paraId="729275E5" w14:textId="77777777" w:rsidR="00CA5E73" w:rsidRPr="009402CB" w:rsidRDefault="00CA5E73" w:rsidP="00990583">
      <w:pPr>
        <w:pStyle w:val="Paragraphedeliste"/>
        <w:numPr>
          <w:ilvl w:val="0"/>
          <w:numId w:val="5"/>
        </w:numPr>
        <w:tabs>
          <w:tab w:val="left" w:pos="426"/>
        </w:tabs>
        <w:suppressAutoHyphens/>
        <w:spacing w:after="240" w:line="240" w:lineRule="auto"/>
        <w:contextualSpacing w:val="0"/>
        <w:jc w:val="both"/>
        <w:rPr>
          <w:rFonts w:asciiTheme="minorHAnsi" w:hAnsiTheme="minorHAnsi" w:cstheme="minorHAnsi"/>
          <w:b/>
          <w:color w:val="00417B"/>
          <w:sz w:val="20"/>
          <w:szCs w:val="20"/>
          <w:lang w:eastAsia="zh-CN"/>
        </w:rPr>
      </w:pPr>
      <w:r w:rsidRPr="009402CB">
        <w:rPr>
          <w:rFonts w:asciiTheme="minorHAnsi" w:hAnsiTheme="minorHAnsi" w:cstheme="minorHAnsi"/>
          <w:b/>
          <w:i/>
          <w:color w:val="00417B"/>
          <w:sz w:val="20"/>
          <w:szCs w:val="20"/>
          <w:lang w:eastAsia="zh-CN"/>
        </w:rPr>
        <w:t>Joindre un ou des relevé(s) d’identité bancaire ou postal.</w:t>
      </w:r>
    </w:p>
    <w:p w14:paraId="77C1CFFE"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6DC6FC92" w14:textId="4AAA4AE9" w:rsidR="00E76E35"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666DB089" w14:textId="191A61A5" w:rsidR="00391410" w:rsidRPr="00391410" w:rsidRDefault="00CA5E7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lastRenderedPageBreak/>
        <w:t>7.2 - Compte (s) à créditer en cas de groupement conjoint :</w:t>
      </w:r>
    </w:p>
    <w:p w14:paraId="75CF8470"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Wingdings" w:cstheme="minorHAnsi"/>
          <w:b/>
          <w:color w:val="00417B"/>
          <w:spacing w:val="-10"/>
          <w:szCs w:val="20"/>
          <w:lang w:eastAsia="zh-CN"/>
        </w:rPr>
        <w:t xml:space="preserve">En cas de groupement conjoint, </w:t>
      </w:r>
      <w:r w:rsidRPr="009402CB">
        <w:rPr>
          <w:rFonts w:eastAsia="Times New Roman" w:cstheme="minorHAnsi"/>
          <w:color w:val="00417B"/>
          <w:szCs w:val="20"/>
          <w:lang w:eastAsia="zh-CN"/>
        </w:rPr>
        <w:t xml:space="preserve">les paiements sont à effectuer sur : </w:t>
      </w:r>
    </w:p>
    <w:p w14:paraId="3518B313"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Times New Roman" w:cstheme="minorHAnsi"/>
          <w:color w:val="00417B"/>
          <w:szCs w:val="20"/>
          <w:lang w:eastAsia="zh-CN"/>
        </w:rPr>
        <w:t>(</w:t>
      </w:r>
      <w:proofErr w:type="gramStart"/>
      <w:r w:rsidRPr="009402CB">
        <w:rPr>
          <w:rFonts w:eastAsia="Times New Roman" w:cstheme="minorHAnsi"/>
          <w:color w:val="00417B"/>
          <w:szCs w:val="20"/>
          <w:lang w:eastAsia="zh-CN"/>
        </w:rPr>
        <w:t>cocher</w:t>
      </w:r>
      <w:proofErr w:type="gramEnd"/>
      <w:r w:rsidRPr="009402CB">
        <w:rPr>
          <w:rFonts w:eastAsia="Times New Roman" w:cstheme="minorHAnsi"/>
          <w:color w:val="00417B"/>
          <w:szCs w:val="20"/>
          <w:lang w:eastAsia="zh-CN"/>
        </w:rPr>
        <w:t xml:space="preserve"> la case correspondante) </w:t>
      </w:r>
    </w:p>
    <w:p w14:paraId="0F9AB972"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p>
    <w:p w14:paraId="3DC90037" w14:textId="2E3A1669"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 compte du m</w:t>
      </w:r>
      <w:r w:rsidR="00D669A3" w:rsidRPr="009402CB">
        <w:rPr>
          <w:rFonts w:eastAsia="Times New Roman" w:cstheme="minorHAnsi"/>
          <w:color w:val="00417B"/>
          <w:szCs w:val="20"/>
          <w:lang w:eastAsia="zh-CN"/>
        </w:rPr>
        <w:t>andataire (compte référence au 7</w:t>
      </w:r>
      <w:r w:rsidRPr="009402CB">
        <w:rPr>
          <w:rFonts w:eastAsia="Times New Roman" w:cstheme="minorHAnsi"/>
          <w:color w:val="00417B"/>
          <w:szCs w:val="20"/>
          <w:lang w:eastAsia="zh-CN"/>
        </w:rPr>
        <w:t>.1)</w:t>
      </w:r>
    </w:p>
    <w:p w14:paraId="631A017D" w14:textId="47785FA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Un compte unique ouvert au nom du groupement (compte référencé au </w:t>
      </w:r>
      <w:r w:rsidR="00D669A3" w:rsidRPr="009402CB">
        <w:rPr>
          <w:rFonts w:eastAsia="Times New Roman" w:cstheme="minorHAnsi"/>
          <w:color w:val="00417B"/>
          <w:szCs w:val="20"/>
          <w:lang w:eastAsia="zh-CN"/>
        </w:rPr>
        <w:t>7</w:t>
      </w:r>
      <w:r w:rsidRPr="009402CB">
        <w:rPr>
          <w:rFonts w:eastAsia="Times New Roman" w:cstheme="minorHAnsi"/>
          <w:color w:val="00417B"/>
          <w:szCs w:val="20"/>
          <w:lang w:eastAsia="zh-CN"/>
        </w:rPr>
        <w:t>.1)</w:t>
      </w:r>
    </w:p>
    <w:p w14:paraId="6A9E0756" w14:textId="763527F6" w:rsidR="00CA5E73" w:rsidRPr="009402CB" w:rsidRDefault="00CA5E73" w:rsidP="00CA5E73">
      <w:pPr>
        <w:tabs>
          <w:tab w:val="left" w:pos="426"/>
        </w:tabs>
        <w:suppressAutoHyphens/>
        <w:spacing w:before="120" w:after="24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Les comptes de chaque </w:t>
      </w:r>
      <w:proofErr w:type="gramStart"/>
      <w:r w:rsidRPr="009402CB">
        <w:rPr>
          <w:rFonts w:eastAsia="Times New Roman" w:cstheme="minorHAnsi"/>
          <w:color w:val="00417B"/>
          <w:szCs w:val="20"/>
          <w:lang w:eastAsia="zh-CN"/>
        </w:rPr>
        <w:t>cotraitant définies</w:t>
      </w:r>
      <w:proofErr w:type="gramEnd"/>
      <w:r w:rsidRPr="009402CB">
        <w:rPr>
          <w:rFonts w:eastAsia="Times New Roman" w:cstheme="minorHAnsi"/>
          <w:color w:val="00417B"/>
          <w:szCs w:val="20"/>
          <w:lang w:eastAsia="zh-CN"/>
        </w:rPr>
        <w:t xml:space="preserve"> ci-dessous et selon la r</w:t>
      </w:r>
      <w:r w:rsidR="00D669A3" w:rsidRPr="009402CB">
        <w:rPr>
          <w:rFonts w:eastAsia="Times New Roman" w:cstheme="minorHAnsi"/>
          <w:color w:val="00417B"/>
          <w:szCs w:val="20"/>
          <w:lang w:eastAsia="zh-CN"/>
        </w:rPr>
        <w:t>épartition définie à l’article 6</w:t>
      </w:r>
      <w:r w:rsidRPr="009402CB">
        <w:rPr>
          <w:rFonts w:eastAsia="Times New Roman" w:cstheme="minorHAnsi"/>
          <w:color w:val="00417B"/>
          <w:szCs w:val="20"/>
          <w:lang w:eastAsia="zh-CN"/>
        </w:rPr>
        <w:t xml:space="preserve">.1 et/ou annexé : </w:t>
      </w:r>
    </w:p>
    <w:p w14:paraId="4B8C665A"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643F6B0D"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6B6F6109" w:rsidR="00CA5E73"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 xml:space="preserve">.3– Avance </w:t>
      </w:r>
      <w:r w:rsidR="00391410" w:rsidRPr="00391410">
        <w:rPr>
          <w:rFonts w:ascii="Calibri" w:eastAsia="Calibri" w:hAnsi="Calibri" w:cs="Arial"/>
          <w:color w:val="00B0F0"/>
          <w:szCs w:val="20"/>
          <w:u w:val="single"/>
        </w:rPr>
        <w:t>(</w:t>
      </w:r>
      <w:r w:rsidR="00D669A3" w:rsidRPr="00391410">
        <w:rPr>
          <w:rFonts w:ascii="Calibri" w:eastAsia="Calibri" w:hAnsi="Calibri" w:cs="Arial"/>
          <w:color w:val="00B0F0"/>
          <w:szCs w:val="20"/>
          <w:u w:val="single"/>
        </w:rPr>
        <w:t>articles R2191-7 et R2191-16 du Code de la Commande Publique)</w:t>
      </w:r>
    </w:p>
    <w:p w14:paraId="39CF7BEB" w14:textId="77777777" w:rsidR="00CA5E73" w:rsidRPr="009402CB" w:rsidRDefault="00CA5E73" w:rsidP="00CA5E73">
      <w:pPr>
        <w:tabs>
          <w:tab w:val="left" w:pos="426"/>
        </w:tabs>
        <w:suppressAutoHyphens/>
        <w:spacing w:after="0" w:line="240" w:lineRule="auto"/>
        <w:rPr>
          <w:rFonts w:eastAsia="Times New Roman" w:cstheme="minorHAnsi"/>
          <w:i/>
          <w:color w:val="00417B"/>
          <w:szCs w:val="20"/>
          <w:lang w:eastAsia="zh-CN"/>
        </w:rPr>
      </w:pPr>
      <w:r w:rsidRPr="009402CB">
        <w:rPr>
          <w:rFonts w:eastAsia="Times New Roman" w:cstheme="minorHAnsi"/>
          <w:color w:val="00417B"/>
          <w:szCs w:val="20"/>
          <w:lang w:eastAsia="zh-CN"/>
        </w:rPr>
        <w:t>Je renonce au bénéfice de l'avance :</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ab/>
        <w:t>NON</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fr-FR"/>
        </w:rPr>
        <w:tab/>
      </w:r>
      <w:r w:rsidRPr="009402CB">
        <w:rPr>
          <w:rFonts w:eastAsia="Times New Roman" w:cstheme="minorHAnsi"/>
          <w:color w:val="00417B"/>
          <w:szCs w:val="20"/>
          <w:lang w:eastAsia="zh-CN"/>
        </w:rPr>
        <w:t>OUI</w:t>
      </w:r>
    </w:p>
    <w:p w14:paraId="4D9E9268" w14:textId="4291E818" w:rsidR="00CA5E73" w:rsidRPr="009402CB" w:rsidRDefault="00CA5E73" w:rsidP="00CA5E73">
      <w:pPr>
        <w:tabs>
          <w:tab w:val="left" w:pos="3005"/>
        </w:tabs>
        <w:rPr>
          <w:rFonts w:eastAsia="Times New Roman" w:cstheme="minorHAnsi"/>
          <w:i/>
          <w:color w:val="00417B"/>
          <w:szCs w:val="20"/>
          <w:lang w:eastAsia="zh-CN"/>
        </w:rPr>
      </w:pPr>
      <w:r w:rsidRPr="009402CB">
        <w:rPr>
          <w:rFonts w:eastAsia="Times New Roman" w:cstheme="minorHAnsi"/>
          <w:i/>
          <w:color w:val="00417B"/>
          <w:szCs w:val="20"/>
          <w:lang w:eastAsia="zh-CN"/>
        </w:rPr>
        <w:t>(Cocher la case correspondante.)</w:t>
      </w:r>
    </w:p>
    <w:p w14:paraId="7281BB4E" w14:textId="06958E38" w:rsidR="00751DFC" w:rsidRDefault="00751DFC" w:rsidP="00CA5E73">
      <w:pPr>
        <w:tabs>
          <w:tab w:val="left" w:pos="3005"/>
        </w:tabs>
        <w:rPr>
          <w:rFonts w:eastAsia="Times New Roman" w:cstheme="minorHAnsi"/>
          <w:i/>
          <w:color w:val="auto"/>
          <w:szCs w:val="20"/>
          <w:lang w:eastAsia="zh-CN"/>
        </w:rPr>
      </w:pPr>
    </w:p>
    <w:p w14:paraId="0ABC7CE2" w14:textId="161EF94D" w:rsidR="001E0B1C" w:rsidRDefault="001E0B1C">
      <w:pPr>
        <w:spacing w:after="0" w:line="240" w:lineRule="auto"/>
        <w:rPr>
          <w:rFonts w:eastAsia="Times New Roman" w:cstheme="minorHAnsi"/>
          <w:i/>
          <w:color w:val="auto"/>
          <w:szCs w:val="20"/>
          <w:lang w:eastAsia="zh-CN"/>
        </w:rPr>
      </w:pPr>
      <w:r>
        <w:rPr>
          <w:rFonts w:eastAsia="Times New Roman" w:cstheme="minorHAnsi"/>
          <w:i/>
          <w:color w:val="auto"/>
          <w:szCs w:val="20"/>
          <w:lang w:eastAsia="zh-CN"/>
        </w:rPr>
        <w:br w:type="page"/>
      </w:r>
    </w:p>
    <w:p w14:paraId="3D4EAAA8" w14:textId="77777777" w:rsidR="004E20E9" w:rsidRDefault="004E20E9" w:rsidP="001E0B1C">
      <w:pPr>
        <w:tabs>
          <w:tab w:val="left" w:pos="3005"/>
        </w:tabs>
        <w:spacing w:after="0"/>
        <w:rPr>
          <w:rFonts w:eastAsia="Times New Roman" w:cstheme="minorHAnsi"/>
          <w:i/>
          <w:color w:val="auto"/>
          <w:szCs w:val="20"/>
          <w:lang w:eastAsia="zh-CN"/>
        </w:rPr>
      </w:pPr>
    </w:p>
    <w:p w14:paraId="327DB3BD" w14:textId="7890891C" w:rsidR="00751DFC" w:rsidRDefault="00751DFC" w:rsidP="00751DFC">
      <w:pPr>
        <w:pStyle w:val="ARTICLE"/>
        <w:spacing w:after="120"/>
        <w:ind w:hanging="720"/>
        <w:outlineLvl w:val="0"/>
      </w:pPr>
      <w:r w:rsidRPr="00751DFC">
        <w:t>SIGNATURE DES PARTIES</w:t>
      </w:r>
    </w:p>
    <w:p w14:paraId="3DFA925A" w14:textId="143293BD"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8.1 – Signature du contractant</w:t>
      </w:r>
    </w:p>
    <w:p w14:paraId="50CD6B79" w14:textId="3E34C065"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00417B"/>
          <w:szCs w:val="20"/>
        </w:rPr>
      </w:pPr>
      <w:r w:rsidRPr="009402CB">
        <w:rPr>
          <w:rFonts w:eastAsia="Times New Roman" w:cstheme="minorHAnsi"/>
          <w:b/>
          <w:color w:val="00417B"/>
          <w:szCs w:val="20"/>
        </w:rPr>
        <w:t>Fait en un seul original</w:t>
      </w:r>
    </w:p>
    <w:p w14:paraId="73A0E68F"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00417B"/>
          <w:szCs w:val="20"/>
        </w:rPr>
      </w:pPr>
    </w:p>
    <w:p w14:paraId="7EB9E179"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00417B"/>
          <w:szCs w:val="20"/>
        </w:rPr>
      </w:pPr>
    </w:p>
    <w:p w14:paraId="3C0BE3F5" w14:textId="0A8AEAA5"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szCs w:val="20"/>
        </w:rPr>
      </w:pPr>
      <w:r w:rsidRPr="009402CB">
        <w:rPr>
          <w:rFonts w:eastAsia="Times New Roman" w:cstheme="minorHAnsi"/>
          <w:b/>
          <w:color w:val="00417B"/>
          <w:szCs w:val="20"/>
        </w:rPr>
        <w:t>A ……………………………………………....                                                     Le ………………………………………….</w:t>
      </w:r>
    </w:p>
    <w:p w14:paraId="2F34F15E"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szCs w:val="20"/>
        </w:rPr>
      </w:pPr>
    </w:p>
    <w:p w14:paraId="1D1C61F1"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szCs w:val="20"/>
        </w:rPr>
      </w:pPr>
    </w:p>
    <w:p w14:paraId="64E61644"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szCs w:val="20"/>
        </w:rPr>
      </w:pPr>
      <w:r w:rsidRPr="009402CB">
        <w:rPr>
          <w:rFonts w:eastAsia="Times New Roman" w:cstheme="minorHAnsi"/>
          <w:b/>
          <w:color w:val="00417B"/>
          <w:szCs w:val="20"/>
        </w:rPr>
        <w:t xml:space="preserve">NOM et prénom du signataire : </w:t>
      </w:r>
    </w:p>
    <w:p w14:paraId="69F125FD"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szCs w:val="20"/>
        </w:rPr>
      </w:pPr>
    </w:p>
    <w:p w14:paraId="634B3B57"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szCs w:val="20"/>
        </w:rPr>
      </w:pPr>
      <w:r w:rsidRPr="009402CB">
        <w:rPr>
          <w:rFonts w:eastAsia="Times New Roman" w:cstheme="minorHAnsi"/>
          <w:b/>
          <w:color w:val="00417B"/>
          <w:szCs w:val="20"/>
        </w:rPr>
        <w:t>Signature électronique</w:t>
      </w:r>
    </w:p>
    <w:p w14:paraId="5830700A"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00417B"/>
          <w:szCs w:val="20"/>
        </w:rPr>
      </w:pPr>
    </w:p>
    <w:p w14:paraId="55471E00"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00417B"/>
          <w:szCs w:val="20"/>
        </w:rPr>
      </w:pPr>
    </w:p>
    <w:p w14:paraId="2456D532"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00417B"/>
          <w:szCs w:val="20"/>
        </w:rPr>
      </w:pPr>
    </w:p>
    <w:p w14:paraId="323DA7EC"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00417B"/>
          <w:szCs w:val="20"/>
        </w:rPr>
      </w:pPr>
    </w:p>
    <w:p w14:paraId="56ED3166" w14:textId="195338B1"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00417B"/>
          <w:szCs w:val="20"/>
        </w:rPr>
      </w:pPr>
    </w:p>
    <w:p w14:paraId="28B297EC"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00417B"/>
          <w:szCs w:val="20"/>
        </w:rPr>
      </w:pPr>
    </w:p>
    <w:p w14:paraId="3C69D88F"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00417B"/>
          <w:szCs w:val="20"/>
        </w:rPr>
      </w:pPr>
    </w:p>
    <w:p w14:paraId="43A5C290"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00417B"/>
          <w:sz w:val="16"/>
          <w:szCs w:val="20"/>
        </w:rPr>
      </w:pPr>
      <w:r w:rsidRPr="009402CB">
        <w:rPr>
          <w:rFonts w:eastAsia="Times New Roman" w:cstheme="minorHAnsi"/>
          <w:i/>
          <w:color w:val="00417B"/>
          <w:sz w:val="16"/>
          <w:szCs w:val="20"/>
        </w:rPr>
        <w:t>*le signataire doit avoir le pouvoir d’engager la personne qu’il représente</w:t>
      </w:r>
    </w:p>
    <w:p w14:paraId="4925D545" w14:textId="77777777" w:rsidR="00751DFC" w:rsidRPr="009402C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00417B"/>
          <w:sz w:val="16"/>
          <w:szCs w:val="20"/>
        </w:rPr>
      </w:pPr>
      <w:r w:rsidRPr="009402CB">
        <w:rPr>
          <w:rFonts w:eastAsia="Times New Roman" w:cstheme="minorHAnsi"/>
          <w:i/>
          <w:color w:val="00417B"/>
          <w:sz w:val="16"/>
          <w:szCs w:val="20"/>
        </w:rPr>
        <w:t>**si le mandataire du groupement n’a pas été habilité à signer l’acte d’engagement, l’ensemble des membres se devront d’apposer leur signature</w:t>
      </w:r>
    </w:p>
    <w:p w14:paraId="1F25CB82" w14:textId="2640EF56" w:rsidR="004E20E9" w:rsidRDefault="004E20E9" w:rsidP="00751DFC">
      <w:pPr>
        <w:tabs>
          <w:tab w:val="left" w:pos="1753"/>
        </w:tabs>
        <w:rPr>
          <w:rFonts w:eastAsia="Times New Roman" w:cstheme="minorHAnsi"/>
          <w:color w:val="auto"/>
          <w:szCs w:val="20"/>
        </w:rPr>
      </w:pPr>
    </w:p>
    <w:p w14:paraId="242A8BE3" w14:textId="77777777" w:rsidR="0032129A" w:rsidRDefault="0032129A" w:rsidP="00751DFC">
      <w:pPr>
        <w:tabs>
          <w:tab w:val="left" w:pos="1753"/>
        </w:tabs>
        <w:rPr>
          <w:rFonts w:cstheme="minorHAnsi"/>
          <w:color w:val="auto"/>
          <w:szCs w:val="20"/>
        </w:rPr>
      </w:pPr>
    </w:p>
    <w:p w14:paraId="0C12D22E" w14:textId="1679EF4F"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8.2 – Décision et signature du Pouvoir Adjudicateur</w:t>
      </w:r>
    </w:p>
    <w:p w14:paraId="21D40F24" w14:textId="55830008" w:rsidR="00751DFC" w:rsidRPr="00AC3080" w:rsidRDefault="00751DFC" w:rsidP="00751DFC">
      <w:pPr>
        <w:keepLines/>
        <w:widowControl w:val="0"/>
        <w:spacing w:before="120" w:after="240" w:line="240" w:lineRule="auto"/>
        <w:rPr>
          <w:rFonts w:eastAsia="Times New Roman" w:cstheme="minorHAnsi"/>
          <w:b/>
          <w:color w:val="00417B" w:themeColor="background1" w:themeShade="BF"/>
          <w:szCs w:val="20"/>
          <w:lang w:eastAsia="fr-FR"/>
        </w:rPr>
      </w:pPr>
      <w:r w:rsidRPr="00AC3080">
        <w:rPr>
          <w:rFonts w:eastAsia="Times New Roman" w:cstheme="minorHAnsi"/>
          <w:b/>
          <w:color w:val="00417B" w:themeColor="background1" w:themeShade="BF"/>
          <w:szCs w:val="20"/>
          <w:lang w:eastAsia="fr-FR"/>
        </w:rPr>
        <w:t>La présente offre est acceptée.</w:t>
      </w:r>
    </w:p>
    <w:p w14:paraId="4915EA0E" w14:textId="3BCB0E6F"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00417B" w:themeColor="background1" w:themeShade="BF"/>
          <w:szCs w:val="20"/>
        </w:rPr>
      </w:pPr>
      <w:r w:rsidRPr="00AC3080">
        <w:rPr>
          <w:rFonts w:eastAsia="Times New Roman" w:cstheme="minorHAnsi"/>
          <w:b/>
          <w:color w:val="00417B" w:themeColor="background1" w:themeShade="BF"/>
          <w:szCs w:val="20"/>
        </w:rPr>
        <w:t>La Chambre de Commerce et d’Industrie de région HAUTS-DE-FRANCE</w:t>
      </w:r>
    </w:p>
    <w:p w14:paraId="68C0EF87" w14:textId="77777777"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00417B" w:themeColor="background1" w:themeShade="BF"/>
          <w:szCs w:val="20"/>
        </w:rPr>
      </w:pPr>
    </w:p>
    <w:p w14:paraId="4CB20315" w14:textId="77777777"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00417B" w:themeColor="background1" w:themeShade="BF"/>
          <w:szCs w:val="20"/>
        </w:rPr>
      </w:pPr>
    </w:p>
    <w:p w14:paraId="642D0BD4" w14:textId="77777777"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r w:rsidRPr="00AC3080">
        <w:rPr>
          <w:rFonts w:eastAsia="Times New Roman" w:cstheme="minorHAnsi"/>
          <w:b/>
          <w:color w:val="00417B" w:themeColor="background1" w:themeShade="BF"/>
          <w:szCs w:val="20"/>
        </w:rPr>
        <w:t>A ……………………………………………....                                                     Le ………………………………………….</w:t>
      </w:r>
    </w:p>
    <w:p w14:paraId="2F2B9DA2" w14:textId="77777777"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374B0C9F" w14:textId="77777777"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1D512409" w14:textId="301A7B88"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0301DCC3" w14:textId="12BE85B3"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321BE6B7" w14:textId="7FF41994"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528634E1" w14:textId="57737D6B"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049F656A" w14:textId="765F3DF5"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3ED8D68A" w14:textId="29B129DB"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0C9F7594" w14:textId="661DD8EE"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2218000D" w14:textId="4B35D84C"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6BB7AA22" w14:textId="77777777"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7F139926" w14:textId="249163ED"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00417B" w:themeColor="background1" w:themeShade="BF"/>
          <w:szCs w:val="20"/>
        </w:rPr>
      </w:pPr>
    </w:p>
    <w:p w14:paraId="78B33FF4" w14:textId="77777777"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00417B" w:themeColor="background1" w:themeShade="BF"/>
          <w:szCs w:val="20"/>
        </w:rPr>
      </w:pPr>
    </w:p>
    <w:p w14:paraId="4CE0222B" w14:textId="77777777"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00417B" w:themeColor="background1" w:themeShade="BF"/>
          <w:szCs w:val="20"/>
        </w:rPr>
      </w:pPr>
    </w:p>
    <w:p w14:paraId="4D8BAE9A" w14:textId="1F7AE23C" w:rsidR="00751DFC" w:rsidRPr="00AC3080"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00417B" w:themeColor="background1" w:themeShade="BF"/>
          <w:szCs w:val="20"/>
        </w:rPr>
      </w:pPr>
      <w:r w:rsidRPr="00AC3080">
        <w:rPr>
          <w:rFonts w:eastAsia="Times New Roman" w:cstheme="minorHAnsi"/>
          <w:color w:val="00417B" w:themeColor="background1" w:themeShade="BF"/>
          <w:szCs w:val="20"/>
        </w:rPr>
        <w:t>(Représentant du Pouvoir Adjudicateur)</w:t>
      </w:r>
    </w:p>
    <w:p w14:paraId="7FCDB220" w14:textId="66DE8162" w:rsidR="00751DFC" w:rsidRPr="00AC3080" w:rsidRDefault="00751DFC" w:rsidP="00751DFC">
      <w:pPr>
        <w:tabs>
          <w:tab w:val="left" w:pos="1753"/>
        </w:tabs>
        <w:rPr>
          <w:rFonts w:cstheme="minorHAnsi"/>
          <w:color w:val="00417B" w:themeColor="background1" w:themeShade="BF"/>
          <w:szCs w:val="20"/>
        </w:rPr>
      </w:pPr>
    </w:p>
    <w:sectPr w:rsidR="00751DFC" w:rsidRPr="00AC3080"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DEEC58" w14:textId="77777777" w:rsidR="002D615C" w:rsidRDefault="002D615C" w:rsidP="00C93BCB">
      <w:pPr>
        <w:spacing w:after="0" w:line="240" w:lineRule="auto"/>
      </w:pPr>
      <w:r>
        <w:separator/>
      </w:r>
    </w:p>
  </w:endnote>
  <w:endnote w:type="continuationSeparator" w:id="0">
    <w:p w14:paraId="7934511B" w14:textId="77777777" w:rsidR="002D615C" w:rsidRDefault="002D615C"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6FE4E1CC"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0F73A1">
      <w:rPr>
        <w:rStyle w:val="Numrodepage"/>
        <w:rFonts w:ascii="Arial" w:hAnsi="Arial" w:cs="Arial"/>
        <w:color w:val="4D4D4D" w:themeColor="text1"/>
        <w:sz w:val="18"/>
        <w:szCs w:val="18"/>
      </w:rPr>
      <w:t>E CCIR-</w:t>
    </w:r>
    <w:r w:rsidR="00686E55">
      <w:rPr>
        <w:rStyle w:val="Numrodepage"/>
        <w:rFonts w:ascii="Arial" w:hAnsi="Arial" w:cs="Arial"/>
        <w:color w:val="4D4D4D" w:themeColor="text1"/>
        <w:sz w:val="18"/>
        <w:szCs w:val="18"/>
      </w:rPr>
      <w:t>COM</w:t>
    </w:r>
    <w:r w:rsidR="000F73A1">
      <w:rPr>
        <w:rStyle w:val="Numrodepage"/>
        <w:rFonts w:ascii="Arial" w:hAnsi="Arial" w:cs="Arial"/>
        <w:color w:val="4D4D4D" w:themeColor="text1"/>
        <w:sz w:val="18"/>
        <w:szCs w:val="18"/>
      </w:rPr>
      <w:t>-202</w:t>
    </w:r>
    <w:r w:rsidR="00686E55">
      <w:rPr>
        <w:rStyle w:val="Numrodepage"/>
        <w:rFonts w:ascii="Arial" w:hAnsi="Arial" w:cs="Arial"/>
        <w:color w:val="4D4D4D" w:themeColor="text1"/>
        <w:sz w:val="18"/>
        <w:szCs w:val="18"/>
      </w:rPr>
      <w:t>5</w:t>
    </w:r>
    <w:r w:rsidR="000F73A1">
      <w:rPr>
        <w:rStyle w:val="Numrodepage"/>
        <w:rFonts w:ascii="Arial" w:hAnsi="Arial" w:cs="Arial"/>
        <w:color w:val="4D4D4D" w:themeColor="text1"/>
        <w:sz w:val="18"/>
        <w:szCs w:val="18"/>
      </w:rPr>
      <w:t>-</w:t>
    </w:r>
    <w:r w:rsidR="00686E55">
      <w:rPr>
        <w:rStyle w:val="Numrodepage"/>
        <w:rFonts w:ascii="Arial" w:hAnsi="Arial" w:cs="Arial"/>
        <w:color w:val="4D4D4D" w:themeColor="text1"/>
        <w:sz w:val="18"/>
        <w:szCs w:val="18"/>
      </w:rPr>
      <w:t>73</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0F73A1">
      <w:rPr>
        <w:rStyle w:val="Numrodepage"/>
        <w:rFonts w:ascii="Arial" w:hAnsi="Arial" w:cs="Arial"/>
        <w:noProof/>
        <w:color w:val="4D4D4D" w:themeColor="text1"/>
        <w:sz w:val="18"/>
        <w:szCs w:val="18"/>
      </w:rPr>
      <w:t>8</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2BAADD" w14:textId="77777777" w:rsidR="002D615C" w:rsidRDefault="002D615C" w:rsidP="00C93BCB">
      <w:pPr>
        <w:spacing w:after="0" w:line="240" w:lineRule="auto"/>
      </w:pPr>
      <w:r>
        <w:separator/>
      </w:r>
    </w:p>
  </w:footnote>
  <w:footnote w:type="continuationSeparator" w:id="0">
    <w:p w14:paraId="09D1A799" w14:textId="77777777" w:rsidR="002D615C" w:rsidRDefault="002D615C"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34E5C17"/>
    <w:multiLevelType w:val="hybridMultilevel"/>
    <w:tmpl w:val="72E06EB6"/>
    <w:lvl w:ilvl="0" w:tplc="040C0009">
      <w:start w:val="1"/>
      <w:numFmt w:val="bullet"/>
      <w:lvlText w:val=""/>
      <w:lvlJc w:val="left"/>
      <w:pPr>
        <w:ind w:left="1800" w:hanging="360"/>
      </w:pPr>
      <w:rPr>
        <w:rFonts w:ascii="Wingdings" w:hAnsi="Wingdings" w:hint="default"/>
      </w:rPr>
    </w:lvl>
    <w:lvl w:ilvl="1" w:tplc="040C0003">
      <w:start w:val="1"/>
      <w:numFmt w:val="bullet"/>
      <w:lvlText w:val="o"/>
      <w:lvlJc w:val="left"/>
      <w:pPr>
        <w:ind w:left="2520" w:hanging="360"/>
      </w:pPr>
      <w:rPr>
        <w:rFonts w:ascii="Courier New" w:hAnsi="Courier New" w:cs="Courier New" w:hint="default"/>
      </w:rPr>
    </w:lvl>
    <w:lvl w:ilvl="2" w:tplc="040C0005">
      <w:start w:val="1"/>
      <w:numFmt w:val="bullet"/>
      <w:lvlText w:val=""/>
      <w:lvlJc w:val="left"/>
      <w:pPr>
        <w:ind w:left="3240" w:hanging="360"/>
      </w:pPr>
      <w:rPr>
        <w:rFonts w:ascii="Wingdings" w:hAnsi="Wingdings" w:hint="default"/>
      </w:rPr>
    </w:lvl>
    <w:lvl w:ilvl="3" w:tplc="040C0001">
      <w:start w:val="1"/>
      <w:numFmt w:val="bullet"/>
      <w:lvlText w:val=""/>
      <w:lvlJc w:val="left"/>
      <w:pPr>
        <w:ind w:left="3960" w:hanging="360"/>
      </w:pPr>
      <w:rPr>
        <w:rFonts w:ascii="Symbol" w:hAnsi="Symbol" w:hint="default"/>
      </w:rPr>
    </w:lvl>
    <w:lvl w:ilvl="4" w:tplc="040C0003">
      <w:start w:val="1"/>
      <w:numFmt w:val="bullet"/>
      <w:lvlText w:val="o"/>
      <w:lvlJc w:val="left"/>
      <w:pPr>
        <w:ind w:left="4680" w:hanging="360"/>
      </w:pPr>
      <w:rPr>
        <w:rFonts w:ascii="Courier New" w:hAnsi="Courier New" w:cs="Courier New" w:hint="default"/>
      </w:rPr>
    </w:lvl>
    <w:lvl w:ilvl="5" w:tplc="040C0005">
      <w:start w:val="1"/>
      <w:numFmt w:val="bullet"/>
      <w:lvlText w:val=""/>
      <w:lvlJc w:val="left"/>
      <w:pPr>
        <w:ind w:left="5400" w:hanging="360"/>
      </w:pPr>
      <w:rPr>
        <w:rFonts w:ascii="Wingdings" w:hAnsi="Wingdings" w:hint="default"/>
      </w:rPr>
    </w:lvl>
    <w:lvl w:ilvl="6" w:tplc="040C0001">
      <w:start w:val="1"/>
      <w:numFmt w:val="bullet"/>
      <w:lvlText w:val=""/>
      <w:lvlJc w:val="left"/>
      <w:pPr>
        <w:ind w:left="6120" w:hanging="360"/>
      </w:pPr>
      <w:rPr>
        <w:rFonts w:ascii="Symbol" w:hAnsi="Symbol" w:hint="default"/>
      </w:rPr>
    </w:lvl>
    <w:lvl w:ilvl="7" w:tplc="040C0003">
      <w:start w:val="1"/>
      <w:numFmt w:val="bullet"/>
      <w:lvlText w:val="o"/>
      <w:lvlJc w:val="left"/>
      <w:pPr>
        <w:ind w:left="6840" w:hanging="360"/>
      </w:pPr>
      <w:rPr>
        <w:rFonts w:ascii="Courier New" w:hAnsi="Courier New" w:cs="Courier New" w:hint="default"/>
      </w:rPr>
    </w:lvl>
    <w:lvl w:ilvl="8" w:tplc="040C0005">
      <w:start w:val="1"/>
      <w:numFmt w:val="bullet"/>
      <w:lvlText w:val=""/>
      <w:lvlJc w:val="left"/>
      <w:pPr>
        <w:ind w:left="7560" w:hanging="360"/>
      </w:pPr>
      <w:rPr>
        <w:rFonts w:ascii="Wingdings" w:hAnsi="Wingdings" w:hint="default"/>
      </w:rPr>
    </w:lvl>
  </w:abstractNum>
  <w:abstractNum w:abstractNumId="4"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2C046CD"/>
    <w:multiLevelType w:val="hybridMultilevel"/>
    <w:tmpl w:val="49E42F36"/>
    <w:lvl w:ilvl="0" w:tplc="93C0B53C">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2C700782"/>
    <w:multiLevelType w:val="hybridMultilevel"/>
    <w:tmpl w:val="48F0975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15:restartNumberingAfterBreak="0">
    <w:nsid w:val="2D9A2831"/>
    <w:multiLevelType w:val="hybridMultilevel"/>
    <w:tmpl w:val="2C228578"/>
    <w:lvl w:ilvl="0" w:tplc="9A5678FE">
      <w:numFmt w:val="bullet"/>
      <w:lvlText w:val=""/>
      <w:lvlJc w:val="left"/>
      <w:pPr>
        <w:ind w:left="1800" w:hanging="360"/>
      </w:pPr>
      <w:rPr>
        <w:rFonts w:ascii="Wingdings" w:eastAsiaTheme="minorHAnsi" w:hAnsi="Wingdings" w:cs="Aria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8"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98F37DE"/>
    <w:multiLevelType w:val="hybridMultilevel"/>
    <w:tmpl w:val="7DF458B2"/>
    <w:lvl w:ilvl="0" w:tplc="8A123E76">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EE677A0"/>
    <w:multiLevelType w:val="hybridMultilevel"/>
    <w:tmpl w:val="4F7000B4"/>
    <w:lvl w:ilvl="0" w:tplc="040C0011">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5"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7608516F"/>
    <w:multiLevelType w:val="hybridMultilevel"/>
    <w:tmpl w:val="7D84BFFE"/>
    <w:lvl w:ilvl="0" w:tplc="3C60A3D4">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7" w15:restartNumberingAfterBreak="0">
    <w:nsid w:val="772F2A9D"/>
    <w:multiLevelType w:val="hybridMultilevel"/>
    <w:tmpl w:val="11A65FB4"/>
    <w:lvl w:ilvl="0" w:tplc="77D8FD04">
      <w:start w:val="6"/>
      <w:numFmt w:val="bullet"/>
      <w:lvlText w:val="-"/>
      <w:lvlJc w:val="left"/>
      <w:pPr>
        <w:ind w:left="720" w:hanging="360"/>
      </w:pPr>
      <w:rPr>
        <w:rFonts w:ascii="Calibri" w:eastAsiaTheme="minorHAnsi" w:hAnsi="Calibri" w:cs="Calibri"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12"/>
  </w:num>
  <w:num w:numId="3">
    <w:abstractNumId w:val="10"/>
  </w:num>
  <w:num w:numId="4">
    <w:abstractNumId w:val="1"/>
  </w:num>
  <w:num w:numId="5">
    <w:abstractNumId w:val="13"/>
  </w:num>
  <w:num w:numId="6">
    <w:abstractNumId w:val="4"/>
  </w:num>
  <w:num w:numId="7">
    <w:abstractNumId w:val="9"/>
  </w:num>
  <w:num w:numId="8">
    <w:abstractNumId w:val="0"/>
  </w:num>
  <w:num w:numId="9">
    <w:abstractNumId w:val="8"/>
  </w:num>
  <w:num w:numId="10">
    <w:abstractNumId w:val="15"/>
  </w:num>
  <w:num w:numId="11">
    <w:abstractNumId w:val="16"/>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num>
  <w:num w:numId="16">
    <w:abstractNumId w:val="17"/>
  </w:num>
  <w:num w:numId="17">
    <w:abstractNumId w:val="6"/>
  </w:num>
  <w:num w:numId="18">
    <w:abstractNumId w:val="7"/>
  </w:num>
  <w:num w:numId="19">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A764B"/>
    <w:rsid w:val="000B0C48"/>
    <w:rsid w:val="000B1288"/>
    <w:rsid w:val="000C0D01"/>
    <w:rsid w:val="000D4580"/>
    <w:rsid w:val="000E2BA6"/>
    <w:rsid w:val="000E6497"/>
    <w:rsid w:val="000F2D2C"/>
    <w:rsid w:val="000F73A1"/>
    <w:rsid w:val="00102BCA"/>
    <w:rsid w:val="00104AD8"/>
    <w:rsid w:val="001207B0"/>
    <w:rsid w:val="001342D1"/>
    <w:rsid w:val="00136D09"/>
    <w:rsid w:val="001467F2"/>
    <w:rsid w:val="0017023B"/>
    <w:rsid w:val="00174CC0"/>
    <w:rsid w:val="001C6163"/>
    <w:rsid w:val="001D70F7"/>
    <w:rsid w:val="001E0B1C"/>
    <w:rsid w:val="001E58E8"/>
    <w:rsid w:val="001E6F14"/>
    <w:rsid w:val="001F243D"/>
    <w:rsid w:val="00210435"/>
    <w:rsid w:val="0021335B"/>
    <w:rsid w:val="00214F32"/>
    <w:rsid w:val="00216D5E"/>
    <w:rsid w:val="002472F4"/>
    <w:rsid w:val="00252610"/>
    <w:rsid w:val="002B1438"/>
    <w:rsid w:val="002B185D"/>
    <w:rsid w:val="002B6028"/>
    <w:rsid w:val="002C4E85"/>
    <w:rsid w:val="002C6146"/>
    <w:rsid w:val="002D615C"/>
    <w:rsid w:val="002E3D31"/>
    <w:rsid w:val="002E7FC2"/>
    <w:rsid w:val="0030481F"/>
    <w:rsid w:val="0032129A"/>
    <w:rsid w:val="003263A8"/>
    <w:rsid w:val="003516EA"/>
    <w:rsid w:val="003525FF"/>
    <w:rsid w:val="00370AC5"/>
    <w:rsid w:val="003824A4"/>
    <w:rsid w:val="003834A6"/>
    <w:rsid w:val="00391410"/>
    <w:rsid w:val="00395701"/>
    <w:rsid w:val="00396160"/>
    <w:rsid w:val="003A3E35"/>
    <w:rsid w:val="003B434B"/>
    <w:rsid w:val="003B7CCB"/>
    <w:rsid w:val="003C7B9A"/>
    <w:rsid w:val="003D454E"/>
    <w:rsid w:val="003E2BBC"/>
    <w:rsid w:val="003E463D"/>
    <w:rsid w:val="003F4CD7"/>
    <w:rsid w:val="003F75A7"/>
    <w:rsid w:val="0040359C"/>
    <w:rsid w:val="004044B6"/>
    <w:rsid w:val="00414274"/>
    <w:rsid w:val="00433049"/>
    <w:rsid w:val="00441CDB"/>
    <w:rsid w:val="00443274"/>
    <w:rsid w:val="00444320"/>
    <w:rsid w:val="004509FE"/>
    <w:rsid w:val="00472F26"/>
    <w:rsid w:val="004821A1"/>
    <w:rsid w:val="00486888"/>
    <w:rsid w:val="00496A12"/>
    <w:rsid w:val="004A04FC"/>
    <w:rsid w:val="004B780E"/>
    <w:rsid w:val="004C4B42"/>
    <w:rsid w:val="004C58C0"/>
    <w:rsid w:val="004D5248"/>
    <w:rsid w:val="004D7DA1"/>
    <w:rsid w:val="004E20E9"/>
    <w:rsid w:val="004E2B2D"/>
    <w:rsid w:val="005110ED"/>
    <w:rsid w:val="005118C3"/>
    <w:rsid w:val="00524973"/>
    <w:rsid w:val="005326A5"/>
    <w:rsid w:val="00534325"/>
    <w:rsid w:val="005407ED"/>
    <w:rsid w:val="00542C56"/>
    <w:rsid w:val="0055508B"/>
    <w:rsid w:val="00566DDE"/>
    <w:rsid w:val="00571295"/>
    <w:rsid w:val="0058421A"/>
    <w:rsid w:val="005919F4"/>
    <w:rsid w:val="005A6FE3"/>
    <w:rsid w:val="005B07F4"/>
    <w:rsid w:val="005B5257"/>
    <w:rsid w:val="005B6B75"/>
    <w:rsid w:val="005D2A4B"/>
    <w:rsid w:val="005D7E42"/>
    <w:rsid w:val="005E5EE1"/>
    <w:rsid w:val="005E6C72"/>
    <w:rsid w:val="005E6DAA"/>
    <w:rsid w:val="00627BD7"/>
    <w:rsid w:val="00627C39"/>
    <w:rsid w:val="00644F16"/>
    <w:rsid w:val="00651686"/>
    <w:rsid w:val="00656437"/>
    <w:rsid w:val="00677ABC"/>
    <w:rsid w:val="00684AF1"/>
    <w:rsid w:val="00684D31"/>
    <w:rsid w:val="00686E55"/>
    <w:rsid w:val="006B6911"/>
    <w:rsid w:val="006C3C9C"/>
    <w:rsid w:val="006D0285"/>
    <w:rsid w:val="006D3153"/>
    <w:rsid w:val="006E20DD"/>
    <w:rsid w:val="006F18AD"/>
    <w:rsid w:val="00706386"/>
    <w:rsid w:val="00712F99"/>
    <w:rsid w:val="00720AE7"/>
    <w:rsid w:val="00720CFF"/>
    <w:rsid w:val="007244ED"/>
    <w:rsid w:val="00727D9D"/>
    <w:rsid w:val="0075196D"/>
    <w:rsid w:val="00751DFC"/>
    <w:rsid w:val="0075296A"/>
    <w:rsid w:val="00752F76"/>
    <w:rsid w:val="007546D9"/>
    <w:rsid w:val="007565BE"/>
    <w:rsid w:val="00763690"/>
    <w:rsid w:val="007640E8"/>
    <w:rsid w:val="00772044"/>
    <w:rsid w:val="007725F6"/>
    <w:rsid w:val="007731FA"/>
    <w:rsid w:val="00775B05"/>
    <w:rsid w:val="007A4FF4"/>
    <w:rsid w:val="007B3ACB"/>
    <w:rsid w:val="007C4994"/>
    <w:rsid w:val="00807159"/>
    <w:rsid w:val="00810AE8"/>
    <w:rsid w:val="00812F12"/>
    <w:rsid w:val="008200C5"/>
    <w:rsid w:val="00821D4E"/>
    <w:rsid w:val="008257D4"/>
    <w:rsid w:val="00831DE8"/>
    <w:rsid w:val="00837163"/>
    <w:rsid w:val="00847AE0"/>
    <w:rsid w:val="0085061F"/>
    <w:rsid w:val="00852580"/>
    <w:rsid w:val="00853763"/>
    <w:rsid w:val="00861890"/>
    <w:rsid w:val="00866CD6"/>
    <w:rsid w:val="00872D2C"/>
    <w:rsid w:val="008762F8"/>
    <w:rsid w:val="008769E8"/>
    <w:rsid w:val="00882674"/>
    <w:rsid w:val="00895818"/>
    <w:rsid w:val="008E4465"/>
    <w:rsid w:val="00911223"/>
    <w:rsid w:val="00933810"/>
    <w:rsid w:val="009402CB"/>
    <w:rsid w:val="0095034D"/>
    <w:rsid w:val="00952698"/>
    <w:rsid w:val="00990583"/>
    <w:rsid w:val="00994155"/>
    <w:rsid w:val="009962D6"/>
    <w:rsid w:val="009D722C"/>
    <w:rsid w:val="009E6430"/>
    <w:rsid w:val="009E7CFE"/>
    <w:rsid w:val="009F20D6"/>
    <w:rsid w:val="009F3D40"/>
    <w:rsid w:val="00A037A5"/>
    <w:rsid w:val="00A177B7"/>
    <w:rsid w:val="00A23A05"/>
    <w:rsid w:val="00A2709B"/>
    <w:rsid w:val="00A31B7A"/>
    <w:rsid w:val="00A34319"/>
    <w:rsid w:val="00A40990"/>
    <w:rsid w:val="00A45325"/>
    <w:rsid w:val="00A47355"/>
    <w:rsid w:val="00A525DE"/>
    <w:rsid w:val="00A64AEF"/>
    <w:rsid w:val="00A74073"/>
    <w:rsid w:val="00A8145E"/>
    <w:rsid w:val="00A86C5D"/>
    <w:rsid w:val="00A906DA"/>
    <w:rsid w:val="00AA4DCA"/>
    <w:rsid w:val="00AB12BA"/>
    <w:rsid w:val="00AC0D27"/>
    <w:rsid w:val="00AC3080"/>
    <w:rsid w:val="00AC694E"/>
    <w:rsid w:val="00AD03E2"/>
    <w:rsid w:val="00AD794F"/>
    <w:rsid w:val="00AD7B64"/>
    <w:rsid w:val="00AF76E7"/>
    <w:rsid w:val="00B0624D"/>
    <w:rsid w:val="00B24790"/>
    <w:rsid w:val="00B25A8D"/>
    <w:rsid w:val="00B37373"/>
    <w:rsid w:val="00B37FF9"/>
    <w:rsid w:val="00B540C3"/>
    <w:rsid w:val="00B62812"/>
    <w:rsid w:val="00B70784"/>
    <w:rsid w:val="00B833C1"/>
    <w:rsid w:val="00B91790"/>
    <w:rsid w:val="00B93C02"/>
    <w:rsid w:val="00BB06F1"/>
    <w:rsid w:val="00BB6D73"/>
    <w:rsid w:val="00BC757B"/>
    <w:rsid w:val="00BF0619"/>
    <w:rsid w:val="00BF20DC"/>
    <w:rsid w:val="00C06E5C"/>
    <w:rsid w:val="00C17FEA"/>
    <w:rsid w:val="00C314B7"/>
    <w:rsid w:val="00C31725"/>
    <w:rsid w:val="00C66802"/>
    <w:rsid w:val="00C87FB7"/>
    <w:rsid w:val="00C92B47"/>
    <w:rsid w:val="00C93BCB"/>
    <w:rsid w:val="00CA3BF8"/>
    <w:rsid w:val="00CA5E73"/>
    <w:rsid w:val="00CB36D4"/>
    <w:rsid w:val="00CB6BD1"/>
    <w:rsid w:val="00CD291F"/>
    <w:rsid w:val="00CE6B22"/>
    <w:rsid w:val="00CE744B"/>
    <w:rsid w:val="00CF018D"/>
    <w:rsid w:val="00CF4C17"/>
    <w:rsid w:val="00D0048D"/>
    <w:rsid w:val="00D03C30"/>
    <w:rsid w:val="00D163B6"/>
    <w:rsid w:val="00D24910"/>
    <w:rsid w:val="00D669A3"/>
    <w:rsid w:val="00D7640B"/>
    <w:rsid w:val="00DA0873"/>
    <w:rsid w:val="00DB3C1A"/>
    <w:rsid w:val="00DC5670"/>
    <w:rsid w:val="00DD40A5"/>
    <w:rsid w:val="00DD7E7F"/>
    <w:rsid w:val="00DE241A"/>
    <w:rsid w:val="00DF1C05"/>
    <w:rsid w:val="00DF1F86"/>
    <w:rsid w:val="00E03D19"/>
    <w:rsid w:val="00E10864"/>
    <w:rsid w:val="00E27637"/>
    <w:rsid w:val="00E35D2F"/>
    <w:rsid w:val="00E41427"/>
    <w:rsid w:val="00E4549A"/>
    <w:rsid w:val="00E5440A"/>
    <w:rsid w:val="00E61239"/>
    <w:rsid w:val="00E71CC4"/>
    <w:rsid w:val="00E76E35"/>
    <w:rsid w:val="00E860D6"/>
    <w:rsid w:val="00E951A2"/>
    <w:rsid w:val="00EA331A"/>
    <w:rsid w:val="00EC2B1E"/>
    <w:rsid w:val="00EC416F"/>
    <w:rsid w:val="00EC651E"/>
    <w:rsid w:val="00ED2DA9"/>
    <w:rsid w:val="00EF681F"/>
    <w:rsid w:val="00EF7C85"/>
    <w:rsid w:val="00F0048D"/>
    <w:rsid w:val="00F1193C"/>
    <w:rsid w:val="00F13CA7"/>
    <w:rsid w:val="00F16D5C"/>
    <w:rsid w:val="00F17BD4"/>
    <w:rsid w:val="00F20461"/>
    <w:rsid w:val="00F34170"/>
    <w:rsid w:val="00F65326"/>
    <w:rsid w:val="00F66807"/>
    <w:rsid w:val="00F7425E"/>
    <w:rsid w:val="00F828AE"/>
    <w:rsid w:val="00F8488B"/>
    <w:rsid w:val="00F84917"/>
    <w:rsid w:val="00F92813"/>
    <w:rsid w:val="00F951CD"/>
    <w:rsid w:val="00F96DBE"/>
    <w:rsid w:val="00FB3C68"/>
    <w:rsid w:val="00FB3F4B"/>
    <w:rsid w:val="00FC33E4"/>
    <w:rsid w:val="00FD1B1C"/>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paragraph" w:styleId="Sansinterligne">
    <w:name w:val="No Spacing"/>
    <w:uiPriority w:val="1"/>
    <w:qFormat/>
    <w:rsid w:val="00370AC5"/>
    <w:rPr>
      <w:rFonts w:eastAsia="Calibri" w:cs="Arial"/>
      <w:sz w:val="22"/>
      <w:szCs w:val="22"/>
      <w:lang w:val="fr-FR" w:eastAsia="en-US"/>
    </w:rPr>
  </w:style>
  <w:style w:type="paragraph" w:styleId="Corpsdetexte">
    <w:name w:val="Body Text"/>
    <w:basedOn w:val="Normal"/>
    <w:link w:val="CorpsdetexteCar"/>
    <w:uiPriority w:val="1"/>
    <w:qFormat/>
    <w:rsid w:val="003824A4"/>
    <w:pPr>
      <w:widowControl w:val="0"/>
      <w:autoSpaceDE w:val="0"/>
      <w:autoSpaceDN w:val="0"/>
      <w:spacing w:after="0" w:line="240" w:lineRule="auto"/>
    </w:pPr>
    <w:rPr>
      <w:rFonts w:ascii="Times New Roman" w:eastAsia="Arial" w:hAnsi="Times New Roman" w:cs="Times New Roman"/>
      <w:color w:val="auto"/>
      <w:szCs w:val="20"/>
      <w:lang w:eastAsia="fr-FR"/>
    </w:rPr>
  </w:style>
  <w:style w:type="character" w:customStyle="1" w:styleId="CorpsdetexteCar">
    <w:name w:val="Corps de texte Car"/>
    <w:basedOn w:val="Policepardfaut"/>
    <w:link w:val="Corpsdetexte"/>
    <w:uiPriority w:val="1"/>
    <w:rsid w:val="003824A4"/>
    <w:rPr>
      <w:rFonts w:ascii="Times New Roman" w:eastAsia="Arial" w:hAnsi="Times New Roman" w:cs="Times New Roman"/>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1222023">
      <w:bodyDiv w:val="1"/>
      <w:marLeft w:val="0"/>
      <w:marRight w:val="0"/>
      <w:marTop w:val="0"/>
      <w:marBottom w:val="0"/>
      <w:divBdr>
        <w:top w:val="none" w:sz="0" w:space="0" w:color="auto"/>
        <w:left w:val="none" w:sz="0" w:space="0" w:color="auto"/>
        <w:bottom w:val="none" w:sz="0" w:space="0" w:color="auto"/>
        <w:right w:val="none" w:sz="0" w:space="0" w:color="auto"/>
      </w:divBdr>
    </w:div>
    <w:div w:id="400911953">
      <w:bodyDiv w:val="1"/>
      <w:marLeft w:val="0"/>
      <w:marRight w:val="0"/>
      <w:marTop w:val="0"/>
      <w:marBottom w:val="0"/>
      <w:divBdr>
        <w:top w:val="none" w:sz="0" w:space="0" w:color="auto"/>
        <w:left w:val="none" w:sz="0" w:space="0" w:color="auto"/>
        <w:bottom w:val="none" w:sz="0" w:space="0" w:color="auto"/>
        <w:right w:val="none" w:sz="0" w:space="0" w:color="auto"/>
      </w:divBdr>
    </w:div>
    <w:div w:id="580453074">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 w:id="1673413599">
      <w:bodyDiv w:val="1"/>
      <w:marLeft w:val="0"/>
      <w:marRight w:val="0"/>
      <w:marTop w:val="0"/>
      <w:marBottom w:val="0"/>
      <w:divBdr>
        <w:top w:val="none" w:sz="0" w:space="0" w:color="auto"/>
        <w:left w:val="none" w:sz="0" w:space="0" w:color="auto"/>
        <w:bottom w:val="none" w:sz="0" w:space="0" w:color="auto"/>
        <w:right w:val="none" w:sz="0" w:space="0" w:color="auto"/>
      </w:divBdr>
    </w:div>
    <w:div w:id="1928221865">
      <w:bodyDiv w:val="1"/>
      <w:marLeft w:val="0"/>
      <w:marRight w:val="0"/>
      <w:marTop w:val="0"/>
      <w:marBottom w:val="0"/>
      <w:divBdr>
        <w:top w:val="none" w:sz="0" w:space="0" w:color="auto"/>
        <w:left w:val="none" w:sz="0" w:space="0" w:color="auto"/>
        <w:bottom w:val="none" w:sz="0" w:space="0" w:color="auto"/>
        <w:right w:val="none" w:sz="0" w:space="0" w:color="auto"/>
      </w:divBdr>
    </w:div>
    <w:div w:id="1984658064">
      <w:bodyDiv w:val="1"/>
      <w:marLeft w:val="0"/>
      <w:marRight w:val="0"/>
      <w:marTop w:val="0"/>
      <w:marBottom w:val="0"/>
      <w:divBdr>
        <w:top w:val="none" w:sz="0" w:space="0" w:color="auto"/>
        <w:left w:val="none" w:sz="0" w:space="0" w:color="auto"/>
        <w:bottom w:val="none" w:sz="0" w:space="0" w:color="auto"/>
        <w:right w:val="none" w:sz="0" w:space="0" w:color="auto"/>
      </w:divBdr>
    </w:div>
    <w:div w:id="20728025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Props1.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1CA2F102-689B-4FAD-B434-9D7AF86442D6}">
  <ds:schemaRefs>
    <ds:schemaRef ds:uri="http://schemas.openxmlformats.org/officeDocument/2006/bibliography"/>
  </ds:schemaRefs>
</ds:datastoreItem>
</file>

<file path=customXml/itemProps4.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docProps/app.xml><?xml version="1.0" encoding="utf-8"?>
<Properties xmlns="http://schemas.openxmlformats.org/officeDocument/2006/extended-properties" xmlns:vt="http://schemas.openxmlformats.org/officeDocument/2006/docPropsVTypes">
  <Template>Normal</Template>
  <TotalTime>989</TotalTime>
  <Pages>7</Pages>
  <Words>1801</Words>
  <Characters>9909</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11687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69</cp:revision>
  <cp:lastPrinted>2020-07-24T13:18:00Z</cp:lastPrinted>
  <dcterms:created xsi:type="dcterms:W3CDTF">2020-10-22T09:52:00Z</dcterms:created>
  <dcterms:modified xsi:type="dcterms:W3CDTF">2025-10-29T16:06:00Z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